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3616" w14:textId="77777777" w:rsidR="000E766B" w:rsidRDefault="00E623B0" w:rsidP="00662853">
      <w:pPr>
        <w:shd w:val="clear" w:color="auto" w:fill="FFFFFF"/>
        <w:spacing w:after="0" w:line="240" w:lineRule="auto"/>
        <w:rPr>
          <w:rFonts w:ascii="Verdana" w:eastAsia="Times New Roman" w:hAnsi="Verdana" w:cs="Times New Roman"/>
          <w:b/>
          <w:bCs/>
          <w:color w:val="333333"/>
          <w:sz w:val="24"/>
          <w:szCs w:val="24"/>
        </w:rPr>
      </w:pPr>
      <w:r>
        <w:rPr>
          <w:rFonts w:ascii="Verdana" w:eastAsia="Times New Roman" w:hAnsi="Verdana" w:cs="Times New Roman"/>
          <w:b/>
          <w:bCs/>
          <w:color w:val="333333"/>
          <w:sz w:val="24"/>
          <w:szCs w:val="24"/>
        </w:rPr>
        <w:t>Section 1411 (Modified for Build Back Better Act changes, which show</w:t>
      </w:r>
      <w:r w:rsidR="000E766B">
        <w:rPr>
          <w:rFonts w:ascii="Verdana" w:eastAsia="Times New Roman" w:hAnsi="Verdana" w:cs="Times New Roman"/>
          <w:b/>
          <w:bCs/>
          <w:color w:val="333333"/>
          <w:sz w:val="24"/>
          <w:szCs w:val="24"/>
        </w:rPr>
        <w:t xml:space="preserve"> in green)</w:t>
      </w:r>
    </w:p>
    <w:p w14:paraId="2932D338" w14:textId="77777777" w:rsidR="000E766B" w:rsidRDefault="000E766B" w:rsidP="00662853">
      <w:pPr>
        <w:shd w:val="clear" w:color="auto" w:fill="FFFFFF"/>
        <w:spacing w:after="0" w:line="240" w:lineRule="auto"/>
        <w:rPr>
          <w:rFonts w:ascii="Verdana" w:eastAsia="Times New Roman" w:hAnsi="Verdana" w:cs="Times New Roman"/>
          <w:b/>
          <w:bCs/>
          <w:color w:val="333333"/>
          <w:sz w:val="24"/>
          <w:szCs w:val="24"/>
        </w:rPr>
      </w:pPr>
    </w:p>
    <w:p w14:paraId="4039E072" w14:textId="73552246"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r w:rsidRPr="00662853">
        <w:rPr>
          <w:rFonts w:ascii="Verdana" w:eastAsia="Times New Roman" w:hAnsi="Verdana" w:cs="Times New Roman"/>
          <w:b/>
          <w:bCs/>
          <w:color w:val="333333"/>
          <w:sz w:val="24"/>
          <w:szCs w:val="24"/>
        </w:rPr>
        <w:t>(a)</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 xml:space="preserve">In </w:t>
      </w:r>
      <w:proofErr w:type="gramStart"/>
      <w:r w:rsidRPr="00662853">
        <w:rPr>
          <w:rFonts w:ascii="Verdana" w:eastAsia="Times New Roman" w:hAnsi="Verdana" w:cs="Times New Roman"/>
          <w:b/>
          <w:bCs/>
          <w:smallCaps/>
          <w:color w:val="333333"/>
          <w:sz w:val="24"/>
          <w:szCs w:val="24"/>
        </w:rPr>
        <w:t>general</w:t>
      </w:r>
      <w:proofErr w:type="gramEnd"/>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Except as provided in subsection (e)—</w:t>
      </w:r>
    </w:p>
    <w:p w14:paraId="07645A7F" w14:textId="2410D829"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0" w:name="a_1"/>
      <w:bookmarkEnd w:id="0"/>
      <w:r w:rsidRPr="00662853">
        <w:rPr>
          <w:rFonts w:ascii="Verdana" w:eastAsia="Times New Roman" w:hAnsi="Verdana" w:cs="Times New Roman"/>
          <w:b/>
          <w:bCs/>
          <w:color w:val="333333"/>
          <w:sz w:val="24"/>
          <w:szCs w:val="24"/>
        </w:rPr>
        <w:t>(1)</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Application to individuals</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In the case of an individual, there is hereby imposed (in addition to any other tax imposed by this subtitle) for each taxable year a tax equal to 3.8 percent of the lesser of—</w:t>
      </w:r>
    </w:p>
    <w:p w14:paraId="35DACF82" w14:textId="6C0FAB0A"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 w:name="a_1_A"/>
      <w:bookmarkEnd w:id="1"/>
      <w:r w:rsidRPr="00662853">
        <w:rPr>
          <w:rFonts w:ascii="Verdana" w:eastAsia="Times New Roman" w:hAnsi="Verdana" w:cs="Times New Roman"/>
          <w:b/>
          <w:bCs/>
          <w:color w:val="333333"/>
          <w:sz w:val="24"/>
          <w:szCs w:val="24"/>
        </w:rPr>
        <w:t>(A)</w:t>
      </w:r>
      <w:r>
        <w:rPr>
          <w:rFonts w:ascii="Verdana" w:eastAsia="Times New Roman" w:hAnsi="Verdana" w:cs="Times New Roman"/>
          <w:b/>
          <w:bCs/>
          <w:color w:val="333333"/>
          <w:sz w:val="24"/>
          <w:szCs w:val="24"/>
        </w:rPr>
        <w:t xml:space="preserve"> </w:t>
      </w:r>
      <w:hyperlink r:id="rId5" w:history="1">
        <w:r w:rsidRPr="000E766B">
          <w:rPr>
            <w:rFonts w:ascii="Verdana" w:eastAsia="Times New Roman" w:hAnsi="Verdana" w:cs="Times New Roman"/>
            <w:color w:val="333333"/>
            <w:sz w:val="24"/>
            <w:szCs w:val="24"/>
          </w:rPr>
          <w:t>net investment income</w:t>
        </w:r>
      </w:hyperlink>
      <w:r w:rsidRPr="00662853">
        <w:rPr>
          <w:rFonts w:ascii="Verdana" w:eastAsia="Times New Roman" w:hAnsi="Verdana" w:cs="Times New Roman"/>
          <w:color w:val="333333"/>
          <w:sz w:val="24"/>
          <w:szCs w:val="24"/>
        </w:rPr>
        <w:t> for such taxable year, or</w:t>
      </w:r>
    </w:p>
    <w:p w14:paraId="26578E49" w14:textId="4D272F79"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 w:name="a_1_B"/>
      <w:bookmarkEnd w:id="2"/>
      <w:r w:rsidRPr="00662853">
        <w:rPr>
          <w:rFonts w:ascii="Verdana" w:eastAsia="Times New Roman" w:hAnsi="Verdana" w:cs="Times New Roman"/>
          <w:b/>
          <w:bCs/>
          <w:color w:val="333333"/>
          <w:sz w:val="24"/>
          <w:szCs w:val="24"/>
        </w:rPr>
        <w:t>(B)</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excess (if any) of—</w:t>
      </w:r>
    </w:p>
    <w:p w14:paraId="2A864426" w14:textId="12C3817E"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 w:name="a_1_B_i"/>
      <w:bookmarkEnd w:id="3"/>
      <w:r w:rsidRPr="00662853">
        <w:rPr>
          <w:rFonts w:ascii="Verdana" w:eastAsia="Times New Roman" w:hAnsi="Verdana" w:cs="Times New Roman"/>
          <w:b/>
          <w:bCs/>
          <w:color w:val="333333"/>
          <w:sz w:val="24"/>
          <w:szCs w:val="24"/>
        </w:rPr>
        <w:t>(</w:t>
      </w:r>
      <w:proofErr w:type="spellStart"/>
      <w:r w:rsidRPr="00662853">
        <w:rPr>
          <w:rFonts w:ascii="Verdana" w:eastAsia="Times New Roman" w:hAnsi="Verdana" w:cs="Times New Roman"/>
          <w:b/>
          <w:bCs/>
          <w:color w:val="333333"/>
          <w:sz w:val="24"/>
          <w:szCs w:val="24"/>
        </w:rPr>
        <w:t>i</w:t>
      </w:r>
      <w:proofErr w:type="spellEnd"/>
      <w:r w:rsidRPr="00662853">
        <w:rPr>
          <w:rFonts w:ascii="Verdana" w:eastAsia="Times New Roman" w:hAnsi="Verdana" w:cs="Times New Roman"/>
          <w:b/>
          <w:bCs/>
          <w:color w:val="333333"/>
          <w:sz w:val="24"/>
          <w:szCs w:val="24"/>
        </w:rPr>
        <w:t>)</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w:t>
      </w:r>
      <w:hyperlink r:id="rId6" w:history="1">
        <w:r w:rsidRPr="00834DA6">
          <w:rPr>
            <w:rFonts w:ascii="Verdana" w:eastAsia="Times New Roman" w:hAnsi="Verdana" w:cs="Times New Roman"/>
            <w:color w:val="333333"/>
            <w:sz w:val="24"/>
            <w:szCs w:val="24"/>
          </w:rPr>
          <w:t>modified adjusted gross income</w:t>
        </w:r>
      </w:hyperlink>
      <w:r w:rsidRPr="00662853">
        <w:rPr>
          <w:rFonts w:ascii="Verdana" w:eastAsia="Times New Roman" w:hAnsi="Verdana" w:cs="Times New Roman"/>
          <w:color w:val="333333"/>
          <w:sz w:val="24"/>
          <w:szCs w:val="24"/>
        </w:rPr>
        <w:t> for such taxable year, over</w:t>
      </w:r>
    </w:p>
    <w:p w14:paraId="6E4F0F33" w14:textId="77B5640C"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4" w:name="a_1_B_ii"/>
      <w:bookmarkEnd w:id="4"/>
      <w:r w:rsidRPr="00662853">
        <w:rPr>
          <w:rFonts w:ascii="Verdana" w:eastAsia="Times New Roman" w:hAnsi="Verdana" w:cs="Times New Roman"/>
          <w:b/>
          <w:bCs/>
          <w:color w:val="333333"/>
          <w:sz w:val="24"/>
          <w:szCs w:val="24"/>
        </w:rPr>
        <w:t>(ii)</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w:t>
      </w:r>
      <w:hyperlink r:id="rId7" w:history="1">
        <w:r w:rsidRPr="00834DA6">
          <w:rPr>
            <w:rFonts w:ascii="Verdana" w:eastAsia="Times New Roman" w:hAnsi="Verdana" w:cs="Times New Roman"/>
            <w:color w:val="333333"/>
            <w:sz w:val="24"/>
            <w:szCs w:val="24"/>
          </w:rPr>
          <w:t>threshold amount</w:t>
        </w:r>
      </w:hyperlink>
      <w:r w:rsidRPr="00662853">
        <w:rPr>
          <w:rFonts w:ascii="Verdana" w:eastAsia="Times New Roman" w:hAnsi="Verdana" w:cs="Times New Roman"/>
          <w:color w:val="333333"/>
          <w:sz w:val="24"/>
          <w:szCs w:val="24"/>
        </w:rPr>
        <w:t>.</w:t>
      </w:r>
    </w:p>
    <w:p w14:paraId="6A071A20" w14:textId="354152C5"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5" w:name="a_2"/>
      <w:bookmarkEnd w:id="5"/>
      <w:r w:rsidRPr="00662853">
        <w:rPr>
          <w:rFonts w:ascii="Verdana" w:eastAsia="Times New Roman" w:hAnsi="Verdana" w:cs="Times New Roman"/>
          <w:b/>
          <w:bCs/>
          <w:color w:val="333333"/>
          <w:sz w:val="24"/>
          <w:szCs w:val="24"/>
        </w:rPr>
        <w:t>(2)</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Application to estates and trusts</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In the case of an estate or trust, there is hereby imposed (in addition to any other tax imposed by this subtitle) for each taxable year a tax of 3.8 percent of the lesser of—</w:t>
      </w:r>
    </w:p>
    <w:p w14:paraId="76405A11" w14:textId="5EDBD66D"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6" w:name="a_2_A"/>
      <w:bookmarkEnd w:id="6"/>
      <w:r w:rsidRPr="00662853">
        <w:rPr>
          <w:rFonts w:ascii="Verdana" w:eastAsia="Times New Roman" w:hAnsi="Verdana" w:cs="Times New Roman"/>
          <w:b/>
          <w:bCs/>
          <w:color w:val="333333"/>
          <w:sz w:val="24"/>
          <w:szCs w:val="24"/>
        </w:rPr>
        <w:t>(A)</w:t>
      </w:r>
      <w:r>
        <w:rPr>
          <w:rFonts w:ascii="Verdana" w:eastAsia="Times New Roman" w:hAnsi="Verdana" w:cs="Times New Roman"/>
          <w:b/>
          <w:bCs/>
          <w:color w:val="333333"/>
          <w:sz w:val="24"/>
          <w:szCs w:val="24"/>
        </w:rPr>
        <w:t xml:space="preserve"> </w:t>
      </w:r>
      <w:r w:rsidR="004871A9" w:rsidRPr="002E14EE">
        <w:rPr>
          <w:rFonts w:ascii="Verdana" w:eastAsia="Times New Roman" w:hAnsi="Verdana" w:cs="Times New Roman"/>
          <w:color w:val="538135" w:themeColor="accent6" w:themeShade="BF"/>
          <w:sz w:val="24"/>
          <w:szCs w:val="24"/>
        </w:rPr>
        <w:t xml:space="preserve">the greater of </w:t>
      </w:r>
      <w:r w:rsidR="004871A9" w:rsidRPr="00834DA6">
        <w:rPr>
          <w:rFonts w:ascii="Verdana" w:eastAsia="Times New Roman" w:hAnsi="Verdana" w:cs="Times New Roman"/>
          <w:color w:val="333333"/>
          <w:sz w:val="24"/>
          <w:szCs w:val="24"/>
        </w:rPr>
        <w:t>undistributed</w:t>
      </w:r>
      <w:r w:rsidR="004871A9" w:rsidRPr="002E14EE">
        <w:rPr>
          <w:rFonts w:ascii="Verdana" w:eastAsia="Times New Roman" w:hAnsi="Verdana" w:cs="Times New Roman"/>
          <w:color w:val="538135" w:themeColor="accent6" w:themeShade="BF"/>
          <w:sz w:val="24"/>
          <w:szCs w:val="24"/>
        </w:rPr>
        <w:t xml:space="preserve"> specified net income or</w:t>
      </w:r>
      <w:r w:rsidR="004871A9" w:rsidRPr="002E14EE">
        <w:rPr>
          <w:rFonts w:ascii="Verdana" w:eastAsia="Times New Roman" w:hAnsi="Verdana" w:cs="Times New Roman"/>
          <w:color w:val="538135" w:themeColor="accent6" w:themeShade="BF"/>
          <w:sz w:val="24"/>
          <w:szCs w:val="24"/>
          <w:u w:val="single"/>
        </w:rPr>
        <w:t xml:space="preserve"> </w:t>
      </w:r>
      <w:r w:rsidRPr="00662853">
        <w:rPr>
          <w:rFonts w:ascii="Verdana" w:eastAsia="Times New Roman" w:hAnsi="Verdana" w:cs="Times New Roman"/>
          <w:color w:val="333333"/>
          <w:sz w:val="24"/>
          <w:szCs w:val="24"/>
        </w:rPr>
        <w:t>the undistributed </w:t>
      </w:r>
      <w:hyperlink r:id="rId8" w:history="1">
        <w:r w:rsidRPr="00834DA6">
          <w:rPr>
            <w:rFonts w:ascii="Verdana" w:eastAsia="Times New Roman" w:hAnsi="Verdana" w:cs="Times New Roman"/>
            <w:color w:val="333333"/>
            <w:sz w:val="24"/>
            <w:szCs w:val="24"/>
          </w:rPr>
          <w:t>net investment income</w:t>
        </w:r>
      </w:hyperlink>
      <w:r w:rsidRPr="00662853">
        <w:rPr>
          <w:rFonts w:ascii="Verdana" w:eastAsia="Times New Roman" w:hAnsi="Verdana" w:cs="Times New Roman"/>
          <w:color w:val="333333"/>
          <w:sz w:val="24"/>
          <w:szCs w:val="24"/>
        </w:rPr>
        <w:t> for such taxable year, or</w:t>
      </w:r>
    </w:p>
    <w:p w14:paraId="1DCC3AA2" w14:textId="77777777"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7" w:name="a_2_B"/>
      <w:bookmarkEnd w:id="7"/>
      <w:r w:rsidRPr="00662853">
        <w:rPr>
          <w:rFonts w:ascii="Verdana" w:eastAsia="Times New Roman" w:hAnsi="Verdana" w:cs="Times New Roman"/>
          <w:b/>
          <w:bCs/>
          <w:color w:val="333333"/>
          <w:sz w:val="24"/>
          <w:szCs w:val="24"/>
        </w:rPr>
        <w:t>(B)</w:t>
      </w:r>
      <w:r w:rsidRPr="00662853">
        <w:rPr>
          <w:rFonts w:ascii="Verdana" w:eastAsia="Times New Roman" w:hAnsi="Verdana" w:cs="Times New Roman"/>
          <w:color w:val="333333"/>
          <w:sz w:val="24"/>
          <w:szCs w:val="24"/>
        </w:rPr>
        <w:t>the excess (if any) of—</w:t>
      </w:r>
    </w:p>
    <w:p w14:paraId="6AE0555F" w14:textId="071E829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8" w:name="a_2_B_i"/>
      <w:bookmarkEnd w:id="8"/>
      <w:r w:rsidRPr="00662853">
        <w:rPr>
          <w:rFonts w:ascii="Verdana" w:eastAsia="Times New Roman" w:hAnsi="Verdana" w:cs="Times New Roman"/>
          <w:b/>
          <w:bCs/>
          <w:color w:val="333333"/>
          <w:sz w:val="24"/>
          <w:szCs w:val="24"/>
        </w:rPr>
        <w:t>(</w:t>
      </w:r>
      <w:proofErr w:type="spellStart"/>
      <w:r w:rsidRPr="00662853">
        <w:rPr>
          <w:rFonts w:ascii="Verdana" w:eastAsia="Times New Roman" w:hAnsi="Verdana" w:cs="Times New Roman"/>
          <w:b/>
          <w:bCs/>
          <w:color w:val="333333"/>
          <w:sz w:val="24"/>
          <w:szCs w:val="24"/>
        </w:rPr>
        <w:t>i</w:t>
      </w:r>
      <w:proofErr w:type="spellEnd"/>
      <w:r w:rsidRPr="00662853">
        <w:rPr>
          <w:rFonts w:ascii="Verdana" w:eastAsia="Times New Roman" w:hAnsi="Verdana" w:cs="Times New Roman"/>
          <w:b/>
          <w:bCs/>
          <w:color w:val="333333"/>
          <w:sz w:val="24"/>
          <w:szCs w:val="24"/>
        </w:rPr>
        <w:t>)</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adjusted gross income (as defined in </w:t>
      </w:r>
      <w:hyperlink r:id="rId9" w:anchor="e" w:history="1">
        <w:r w:rsidRPr="00834DA6">
          <w:rPr>
            <w:rFonts w:ascii="Verdana" w:eastAsia="Times New Roman" w:hAnsi="Verdana" w:cs="Times New Roman"/>
            <w:color w:val="333333"/>
            <w:sz w:val="24"/>
            <w:szCs w:val="24"/>
          </w:rPr>
          <w:t>section 67(e)</w:t>
        </w:r>
      </w:hyperlink>
      <w:r w:rsidRPr="00662853">
        <w:rPr>
          <w:rFonts w:ascii="Verdana" w:eastAsia="Times New Roman" w:hAnsi="Verdana" w:cs="Times New Roman"/>
          <w:color w:val="333333"/>
          <w:sz w:val="24"/>
          <w:szCs w:val="24"/>
        </w:rPr>
        <w:t>) for such taxable year, over</w:t>
      </w:r>
    </w:p>
    <w:p w14:paraId="6DAE82B7" w14:textId="54741516"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9" w:name="a_2_B_ii"/>
      <w:bookmarkEnd w:id="9"/>
      <w:r w:rsidRPr="00662853">
        <w:rPr>
          <w:rFonts w:ascii="Verdana" w:eastAsia="Times New Roman" w:hAnsi="Verdana" w:cs="Times New Roman"/>
          <w:b/>
          <w:bCs/>
          <w:color w:val="333333"/>
          <w:sz w:val="24"/>
          <w:szCs w:val="24"/>
        </w:rPr>
        <w:t>(ii)</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dollar amount at which the highest tax bracket in section 1(e) begins for such taxable year.</w:t>
      </w:r>
    </w:p>
    <w:p w14:paraId="5AD996B9" w14:textId="26111A0C"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0" w:name="b"/>
      <w:bookmarkEnd w:id="10"/>
      <w:r w:rsidRPr="00662853">
        <w:rPr>
          <w:rFonts w:ascii="Verdana" w:eastAsia="Times New Roman" w:hAnsi="Verdana" w:cs="Times New Roman"/>
          <w:b/>
          <w:bCs/>
          <w:color w:val="333333"/>
          <w:sz w:val="24"/>
          <w:szCs w:val="24"/>
        </w:rPr>
        <w:t>(b)</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Threshold amount</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For purposes of this chapter, the term “</w:t>
      </w:r>
      <w:hyperlink r:id="rId10" w:history="1">
        <w:r w:rsidRPr="00834DA6">
          <w:rPr>
            <w:rFonts w:ascii="Verdana" w:eastAsia="Times New Roman" w:hAnsi="Verdana" w:cs="Times New Roman"/>
            <w:color w:val="333333"/>
            <w:sz w:val="24"/>
            <w:szCs w:val="24"/>
          </w:rPr>
          <w:t>threshold amount</w:t>
        </w:r>
      </w:hyperlink>
      <w:r w:rsidRPr="00662853">
        <w:rPr>
          <w:rFonts w:ascii="Verdana" w:eastAsia="Times New Roman" w:hAnsi="Verdana" w:cs="Times New Roman"/>
          <w:color w:val="333333"/>
          <w:sz w:val="24"/>
          <w:szCs w:val="24"/>
        </w:rPr>
        <w:t>” means—</w:t>
      </w:r>
    </w:p>
    <w:p w14:paraId="61C8444E" w14:textId="066C65AE"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1" w:name="b_1"/>
      <w:bookmarkEnd w:id="11"/>
      <w:r w:rsidRPr="00662853">
        <w:rPr>
          <w:rFonts w:ascii="Verdana" w:eastAsia="Times New Roman" w:hAnsi="Verdana" w:cs="Times New Roman"/>
          <w:b/>
          <w:bCs/>
          <w:color w:val="333333"/>
          <w:sz w:val="24"/>
          <w:szCs w:val="24"/>
        </w:rPr>
        <w:t>(1)</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in the case of a taxpayer making a joint return under </w:t>
      </w:r>
      <w:hyperlink r:id="rId11" w:history="1">
        <w:r w:rsidRPr="00834DA6">
          <w:rPr>
            <w:rFonts w:ascii="Verdana" w:eastAsia="Times New Roman" w:hAnsi="Verdana" w:cs="Times New Roman"/>
            <w:color w:val="333333"/>
            <w:sz w:val="24"/>
            <w:szCs w:val="24"/>
          </w:rPr>
          <w:t>section 6013</w:t>
        </w:r>
      </w:hyperlink>
      <w:r w:rsidRPr="00662853">
        <w:rPr>
          <w:rFonts w:ascii="Verdana" w:eastAsia="Times New Roman" w:hAnsi="Verdana" w:cs="Times New Roman"/>
          <w:color w:val="333333"/>
          <w:sz w:val="24"/>
          <w:szCs w:val="24"/>
        </w:rPr>
        <w:t> or a surviving spouse (as defined in section 2(a)), $250,000,</w:t>
      </w:r>
    </w:p>
    <w:p w14:paraId="763B3B60" w14:textId="25FA105D"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2" w:name="b_2"/>
      <w:bookmarkEnd w:id="12"/>
      <w:r w:rsidRPr="00662853">
        <w:rPr>
          <w:rFonts w:ascii="Verdana" w:eastAsia="Times New Roman" w:hAnsi="Verdana" w:cs="Times New Roman"/>
          <w:b/>
          <w:bCs/>
          <w:color w:val="333333"/>
          <w:sz w:val="24"/>
          <w:szCs w:val="24"/>
        </w:rPr>
        <w:t>(2)</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in the case of a married taxpayer (as defined in section 7703) filing a separate return, ½ of the dollar amount determined under paragraph (1), and</w:t>
      </w:r>
    </w:p>
    <w:p w14:paraId="17F62454" w14:textId="47B4FC2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3" w:name="b_3"/>
      <w:bookmarkEnd w:id="13"/>
      <w:r w:rsidRPr="00662853">
        <w:rPr>
          <w:rFonts w:ascii="Verdana" w:eastAsia="Times New Roman" w:hAnsi="Verdana" w:cs="Times New Roman"/>
          <w:b/>
          <w:bCs/>
          <w:color w:val="333333"/>
          <w:sz w:val="24"/>
          <w:szCs w:val="24"/>
        </w:rPr>
        <w:t>(3)</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in any other case, $200,000.</w:t>
      </w:r>
    </w:p>
    <w:p w14:paraId="58DC5A52" w14:textId="792106F6"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4" w:name="c"/>
      <w:bookmarkEnd w:id="14"/>
      <w:r w:rsidRPr="00662853">
        <w:rPr>
          <w:rFonts w:ascii="Verdana" w:eastAsia="Times New Roman" w:hAnsi="Verdana" w:cs="Times New Roman"/>
          <w:b/>
          <w:bCs/>
          <w:color w:val="333333"/>
          <w:sz w:val="24"/>
          <w:szCs w:val="24"/>
        </w:rPr>
        <w:t>(c)</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Net investment income</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For purposes of this chapter—</w:t>
      </w:r>
    </w:p>
    <w:p w14:paraId="1881D149" w14:textId="03150BF3"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5" w:name="c_1"/>
      <w:bookmarkEnd w:id="15"/>
      <w:r w:rsidRPr="00662853">
        <w:rPr>
          <w:rFonts w:ascii="Verdana" w:eastAsia="Times New Roman" w:hAnsi="Verdana" w:cs="Times New Roman"/>
          <w:b/>
          <w:bCs/>
          <w:color w:val="333333"/>
          <w:sz w:val="24"/>
          <w:szCs w:val="24"/>
        </w:rPr>
        <w:t>(1)</w:t>
      </w:r>
      <w:r w:rsidR="0065067F">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In general</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The term “</w:t>
      </w:r>
      <w:hyperlink r:id="rId12" w:history="1">
        <w:r w:rsidRPr="00834DA6">
          <w:rPr>
            <w:rFonts w:ascii="Verdana" w:eastAsia="Times New Roman" w:hAnsi="Verdana" w:cs="Times New Roman"/>
            <w:color w:val="333333"/>
            <w:sz w:val="24"/>
            <w:szCs w:val="24"/>
          </w:rPr>
          <w:t>net investment income</w:t>
        </w:r>
      </w:hyperlink>
      <w:r w:rsidRPr="00662853">
        <w:rPr>
          <w:rFonts w:ascii="Verdana" w:eastAsia="Times New Roman" w:hAnsi="Verdana" w:cs="Times New Roman"/>
          <w:color w:val="333333"/>
          <w:sz w:val="24"/>
          <w:szCs w:val="24"/>
        </w:rPr>
        <w:t>” means the excess (if any) of—</w:t>
      </w:r>
    </w:p>
    <w:p w14:paraId="47469AA9" w14:textId="77777777"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6" w:name="c_1_A"/>
      <w:bookmarkEnd w:id="16"/>
      <w:r w:rsidRPr="00662853">
        <w:rPr>
          <w:rFonts w:ascii="Verdana" w:eastAsia="Times New Roman" w:hAnsi="Verdana" w:cs="Times New Roman"/>
          <w:b/>
          <w:bCs/>
          <w:color w:val="333333"/>
          <w:sz w:val="24"/>
          <w:szCs w:val="24"/>
        </w:rPr>
        <w:t>(A)</w:t>
      </w:r>
      <w:r w:rsidRPr="00662853">
        <w:rPr>
          <w:rFonts w:ascii="Verdana" w:eastAsia="Times New Roman" w:hAnsi="Verdana" w:cs="Times New Roman"/>
          <w:color w:val="333333"/>
          <w:sz w:val="24"/>
          <w:szCs w:val="24"/>
        </w:rPr>
        <w:t>the sum of—</w:t>
      </w:r>
    </w:p>
    <w:p w14:paraId="200503FD" w14:textId="2DDB6EA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7" w:name="c_1_A_i"/>
      <w:bookmarkEnd w:id="17"/>
      <w:r w:rsidRPr="00662853">
        <w:rPr>
          <w:rFonts w:ascii="Verdana" w:eastAsia="Times New Roman" w:hAnsi="Verdana" w:cs="Times New Roman"/>
          <w:b/>
          <w:bCs/>
          <w:color w:val="333333"/>
          <w:sz w:val="24"/>
          <w:szCs w:val="24"/>
        </w:rPr>
        <w:t>(</w:t>
      </w:r>
      <w:proofErr w:type="spellStart"/>
      <w:r w:rsidRPr="00662853">
        <w:rPr>
          <w:rFonts w:ascii="Verdana" w:eastAsia="Times New Roman" w:hAnsi="Verdana" w:cs="Times New Roman"/>
          <w:b/>
          <w:bCs/>
          <w:color w:val="333333"/>
          <w:sz w:val="24"/>
          <w:szCs w:val="24"/>
        </w:rPr>
        <w:t>i</w:t>
      </w:r>
      <w:proofErr w:type="spellEnd"/>
      <w:r w:rsidRPr="00662853">
        <w:rPr>
          <w:rFonts w:ascii="Verdana" w:eastAsia="Times New Roman" w:hAnsi="Verdana" w:cs="Times New Roman"/>
          <w:b/>
          <w:bCs/>
          <w:color w:val="333333"/>
          <w:sz w:val="24"/>
          <w:szCs w:val="24"/>
        </w:rPr>
        <w:t>)</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gross income from interest, dividends, annuities, royalties, and rents, other than such income which is derived in the ordinary course of a trade or business not described in paragraph (2),</w:t>
      </w:r>
    </w:p>
    <w:p w14:paraId="13B98E3A" w14:textId="0A32EB56"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8" w:name="c_1_A_ii"/>
      <w:bookmarkEnd w:id="18"/>
      <w:r w:rsidRPr="00662853">
        <w:rPr>
          <w:rFonts w:ascii="Verdana" w:eastAsia="Times New Roman" w:hAnsi="Verdana" w:cs="Times New Roman"/>
          <w:b/>
          <w:bCs/>
          <w:color w:val="333333"/>
          <w:sz w:val="24"/>
          <w:szCs w:val="24"/>
        </w:rPr>
        <w:t>(ii)</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other gross income derived from a trade or business described in paragraph (2),</w:t>
      </w:r>
    </w:p>
    <w:p w14:paraId="0C149539" w14:textId="264241CE" w:rsid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19" w:name="c_1_A_iii"/>
      <w:bookmarkEnd w:id="19"/>
      <w:r w:rsidRPr="00662853">
        <w:rPr>
          <w:rFonts w:ascii="Verdana" w:eastAsia="Times New Roman" w:hAnsi="Verdana" w:cs="Times New Roman"/>
          <w:b/>
          <w:bCs/>
          <w:color w:val="333333"/>
          <w:sz w:val="24"/>
          <w:szCs w:val="24"/>
        </w:rPr>
        <w:t>(iii)</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 xml:space="preserve">net gain (to the extent </w:t>
      </w:r>
      <w:proofErr w:type="gramStart"/>
      <w:r w:rsidRPr="00662853">
        <w:rPr>
          <w:rFonts w:ascii="Verdana" w:eastAsia="Times New Roman" w:hAnsi="Verdana" w:cs="Times New Roman"/>
          <w:color w:val="333333"/>
          <w:sz w:val="24"/>
          <w:szCs w:val="24"/>
        </w:rPr>
        <w:t>taken into account</w:t>
      </w:r>
      <w:proofErr w:type="gramEnd"/>
      <w:r w:rsidRPr="00662853">
        <w:rPr>
          <w:rFonts w:ascii="Verdana" w:eastAsia="Times New Roman" w:hAnsi="Verdana" w:cs="Times New Roman"/>
          <w:color w:val="333333"/>
          <w:sz w:val="24"/>
          <w:szCs w:val="24"/>
        </w:rPr>
        <w:t xml:space="preserve"> in computing taxable income) attributable to the disposition of property other than property held in a trade or business not described in paragraph (2), </w:t>
      </w:r>
      <w:r w:rsidR="007A2AA1" w:rsidRPr="007A2AA1">
        <w:rPr>
          <w:rFonts w:ascii="Verdana" w:eastAsia="Times New Roman" w:hAnsi="Verdana" w:cs="Times New Roman"/>
          <w:color w:val="538135" w:themeColor="accent6" w:themeShade="BF"/>
          <w:sz w:val="24"/>
          <w:szCs w:val="24"/>
        </w:rPr>
        <w:t>and</w:t>
      </w:r>
    </w:p>
    <w:p w14:paraId="29074B3D" w14:textId="5760ADB7" w:rsidR="003C7C90" w:rsidRPr="00662853" w:rsidRDefault="00101568" w:rsidP="00662853">
      <w:pPr>
        <w:shd w:val="clear" w:color="auto" w:fill="FFFFFF"/>
        <w:spacing w:after="0" w:line="240" w:lineRule="auto"/>
        <w:rPr>
          <w:rFonts w:ascii="Verdana" w:eastAsia="Times New Roman" w:hAnsi="Verdana" w:cs="Times New Roman"/>
          <w:color w:val="538135" w:themeColor="accent6" w:themeShade="BF"/>
          <w:sz w:val="24"/>
          <w:szCs w:val="24"/>
        </w:rPr>
      </w:pPr>
      <w:r w:rsidRPr="00101568">
        <w:rPr>
          <w:rFonts w:ascii="Verdana" w:eastAsia="Times New Roman" w:hAnsi="Verdana" w:cs="Times New Roman"/>
          <w:b/>
          <w:bCs/>
          <w:color w:val="538135" w:themeColor="accent6" w:themeShade="BF"/>
          <w:sz w:val="24"/>
          <w:szCs w:val="24"/>
        </w:rPr>
        <w:t>(iv)</w:t>
      </w:r>
      <w:r w:rsidRPr="00101568">
        <w:rPr>
          <w:rFonts w:ascii="Verdana" w:eastAsia="Times New Roman" w:hAnsi="Verdana" w:cs="Times New Roman"/>
          <w:color w:val="538135" w:themeColor="accent6" w:themeShade="BF"/>
          <w:sz w:val="24"/>
          <w:szCs w:val="24"/>
        </w:rPr>
        <w:t xml:space="preserve"> any amount includible in gross income under section 951, 951A, 1293, or 1296, over</w:t>
      </w:r>
    </w:p>
    <w:p w14:paraId="739F0EEE" w14:textId="52F8ADA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0" w:name="c_1_B"/>
      <w:bookmarkEnd w:id="20"/>
      <w:r w:rsidRPr="00662853">
        <w:rPr>
          <w:rFonts w:ascii="Verdana" w:eastAsia="Times New Roman" w:hAnsi="Verdana" w:cs="Times New Roman"/>
          <w:b/>
          <w:bCs/>
          <w:color w:val="333333"/>
          <w:sz w:val="24"/>
          <w:szCs w:val="24"/>
        </w:rPr>
        <w:lastRenderedPageBreak/>
        <w:t>(B)</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 xml:space="preserve">the deductions allowed by this subtitle </w:t>
      </w:r>
      <w:r w:rsidR="0060112C" w:rsidRPr="0060112C">
        <w:rPr>
          <w:rFonts w:ascii="Verdana" w:eastAsia="Times New Roman" w:hAnsi="Verdana" w:cs="Times New Roman"/>
          <w:color w:val="538135" w:themeColor="accent6" w:themeShade="BF"/>
          <w:sz w:val="24"/>
          <w:szCs w:val="24"/>
        </w:rPr>
        <w:t>(other than section 172)</w:t>
      </w:r>
      <w:r w:rsidR="0060112C">
        <w:rPr>
          <w:rFonts w:ascii="Verdana" w:eastAsia="Times New Roman" w:hAnsi="Verdana" w:cs="Times New Roman"/>
          <w:color w:val="333333"/>
          <w:sz w:val="24"/>
          <w:szCs w:val="24"/>
        </w:rPr>
        <w:t xml:space="preserve"> </w:t>
      </w:r>
      <w:r w:rsidRPr="00662853">
        <w:rPr>
          <w:rFonts w:ascii="Verdana" w:eastAsia="Times New Roman" w:hAnsi="Verdana" w:cs="Times New Roman"/>
          <w:color w:val="333333"/>
          <w:sz w:val="24"/>
          <w:szCs w:val="24"/>
        </w:rPr>
        <w:t>which are properly allocable to such gross income or net gain.</w:t>
      </w:r>
    </w:p>
    <w:p w14:paraId="380CC190" w14:textId="1631D9F9"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1" w:name="c_2"/>
      <w:bookmarkEnd w:id="21"/>
      <w:r w:rsidRPr="00662853">
        <w:rPr>
          <w:rFonts w:ascii="Verdana" w:eastAsia="Times New Roman" w:hAnsi="Verdana" w:cs="Times New Roman"/>
          <w:b/>
          <w:bCs/>
          <w:color w:val="333333"/>
          <w:sz w:val="24"/>
          <w:szCs w:val="24"/>
        </w:rPr>
        <w:t>(</w:t>
      </w:r>
      <w:proofErr w:type="gramStart"/>
      <w:r w:rsidRPr="00662853">
        <w:rPr>
          <w:rFonts w:ascii="Verdana" w:eastAsia="Times New Roman" w:hAnsi="Verdana" w:cs="Times New Roman"/>
          <w:b/>
          <w:bCs/>
          <w:color w:val="333333"/>
          <w:sz w:val="24"/>
          <w:szCs w:val="24"/>
        </w:rPr>
        <w:t>2)</w:t>
      </w:r>
      <w:r w:rsidRPr="00662853">
        <w:rPr>
          <w:rFonts w:ascii="Verdana" w:eastAsia="Times New Roman" w:hAnsi="Verdana" w:cs="Times New Roman"/>
          <w:b/>
          <w:bCs/>
          <w:smallCaps/>
          <w:color w:val="333333"/>
          <w:sz w:val="24"/>
          <w:szCs w:val="24"/>
        </w:rPr>
        <w:t>Trades</w:t>
      </w:r>
      <w:proofErr w:type="gramEnd"/>
      <w:r w:rsidRPr="00662853">
        <w:rPr>
          <w:rFonts w:ascii="Verdana" w:eastAsia="Times New Roman" w:hAnsi="Verdana" w:cs="Times New Roman"/>
          <w:b/>
          <w:bCs/>
          <w:smallCaps/>
          <w:color w:val="333333"/>
          <w:sz w:val="24"/>
          <w:szCs w:val="24"/>
        </w:rPr>
        <w:t xml:space="preserve"> and businesses to which tax applies</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A trade or business is described in this paragraph if such trade or business is—</w:t>
      </w:r>
    </w:p>
    <w:p w14:paraId="7E3B2AE8" w14:textId="20099023"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2" w:name="c_2_A"/>
      <w:bookmarkEnd w:id="22"/>
      <w:r w:rsidRPr="00662853">
        <w:rPr>
          <w:rFonts w:ascii="Verdana" w:eastAsia="Times New Roman" w:hAnsi="Verdana" w:cs="Times New Roman"/>
          <w:b/>
          <w:bCs/>
          <w:color w:val="333333"/>
          <w:sz w:val="24"/>
          <w:szCs w:val="24"/>
        </w:rPr>
        <w:t>(A)</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a passive activity (within the meaning of </w:t>
      </w:r>
      <w:hyperlink r:id="rId13" w:history="1">
        <w:r w:rsidRPr="00834DA6">
          <w:rPr>
            <w:rFonts w:ascii="Verdana" w:eastAsia="Times New Roman" w:hAnsi="Verdana" w:cs="Times New Roman"/>
            <w:color w:val="333333"/>
            <w:sz w:val="24"/>
            <w:szCs w:val="24"/>
          </w:rPr>
          <w:t>section 469</w:t>
        </w:r>
      </w:hyperlink>
      <w:r w:rsidRPr="00662853">
        <w:rPr>
          <w:rFonts w:ascii="Verdana" w:eastAsia="Times New Roman" w:hAnsi="Verdana" w:cs="Times New Roman"/>
          <w:color w:val="333333"/>
          <w:sz w:val="24"/>
          <w:szCs w:val="24"/>
        </w:rPr>
        <w:t>) with respect to the taxpayer, or</w:t>
      </w:r>
    </w:p>
    <w:p w14:paraId="31586832" w14:textId="41B03F77"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3" w:name="c_2_B"/>
      <w:bookmarkEnd w:id="23"/>
      <w:r w:rsidRPr="00662853">
        <w:rPr>
          <w:rFonts w:ascii="Verdana" w:eastAsia="Times New Roman" w:hAnsi="Verdana" w:cs="Times New Roman"/>
          <w:b/>
          <w:bCs/>
          <w:color w:val="333333"/>
          <w:sz w:val="24"/>
          <w:szCs w:val="24"/>
        </w:rPr>
        <w:t>(B)</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a trade or business of trading in financial instruments or commodities (as defined in </w:t>
      </w:r>
      <w:hyperlink r:id="rId14" w:anchor="e_2" w:history="1">
        <w:r w:rsidRPr="00834DA6">
          <w:rPr>
            <w:rFonts w:ascii="Verdana" w:eastAsia="Times New Roman" w:hAnsi="Verdana" w:cs="Times New Roman"/>
            <w:color w:val="333333"/>
            <w:sz w:val="24"/>
            <w:szCs w:val="24"/>
          </w:rPr>
          <w:t>section 475(e)(2)</w:t>
        </w:r>
      </w:hyperlink>
      <w:r w:rsidRPr="00662853">
        <w:rPr>
          <w:rFonts w:ascii="Verdana" w:eastAsia="Times New Roman" w:hAnsi="Verdana" w:cs="Times New Roman"/>
          <w:color w:val="333333"/>
          <w:sz w:val="24"/>
          <w:szCs w:val="24"/>
        </w:rPr>
        <w:t>).</w:t>
      </w:r>
    </w:p>
    <w:p w14:paraId="27A20482" w14:textId="77777777"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4" w:name="c_3"/>
      <w:bookmarkEnd w:id="24"/>
      <w:r w:rsidRPr="00662853">
        <w:rPr>
          <w:rFonts w:ascii="Verdana" w:eastAsia="Times New Roman" w:hAnsi="Verdana" w:cs="Times New Roman"/>
          <w:b/>
          <w:bCs/>
          <w:color w:val="333333"/>
          <w:sz w:val="24"/>
          <w:szCs w:val="24"/>
        </w:rPr>
        <w:t>(</w:t>
      </w:r>
      <w:proofErr w:type="gramStart"/>
      <w:r w:rsidRPr="00662853">
        <w:rPr>
          <w:rFonts w:ascii="Verdana" w:eastAsia="Times New Roman" w:hAnsi="Verdana" w:cs="Times New Roman"/>
          <w:b/>
          <w:bCs/>
          <w:color w:val="333333"/>
          <w:sz w:val="24"/>
          <w:szCs w:val="24"/>
        </w:rPr>
        <w:t>3)</w:t>
      </w:r>
      <w:r w:rsidRPr="00662853">
        <w:rPr>
          <w:rFonts w:ascii="Verdana" w:eastAsia="Times New Roman" w:hAnsi="Verdana" w:cs="Times New Roman"/>
          <w:b/>
          <w:bCs/>
          <w:smallCaps/>
          <w:color w:val="333333"/>
          <w:sz w:val="24"/>
          <w:szCs w:val="24"/>
        </w:rPr>
        <w:t>Income</w:t>
      </w:r>
      <w:proofErr w:type="gramEnd"/>
      <w:r w:rsidRPr="00662853">
        <w:rPr>
          <w:rFonts w:ascii="Verdana" w:eastAsia="Times New Roman" w:hAnsi="Verdana" w:cs="Times New Roman"/>
          <w:b/>
          <w:bCs/>
          <w:smallCaps/>
          <w:color w:val="333333"/>
          <w:sz w:val="24"/>
          <w:szCs w:val="24"/>
        </w:rPr>
        <w:t xml:space="preserve"> on investment of working capital subject to tax</w:t>
      </w:r>
    </w:p>
    <w:p w14:paraId="0D93A780" w14:textId="77777777" w:rsidR="00662853" w:rsidRPr="00662853" w:rsidRDefault="00662853" w:rsidP="00662853">
      <w:pPr>
        <w:shd w:val="clear" w:color="auto" w:fill="FFFFFF"/>
        <w:spacing w:after="150" w:line="240" w:lineRule="auto"/>
        <w:rPr>
          <w:rFonts w:ascii="Verdana" w:eastAsia="Times New Roman" w:hAnsi="Verdana" w:cs="Times New Roman"/>
          <w:color w:val="333333"/>
          <w:sz w:val="24"/>
          <w:szCs w:val="24"/>
        </w:rPr>
      </w:pPr>
      <w:r w:rsidRPr="00662853">
        <w:rPr>
          <w:rFonts w:ascii="Verdana" w:eastAsia="Times New Roman" w:hAnsi="Verdana" w:cs="Times New Roman"/>
          <w:color w:val="333333"/>
          <w:sz w:val="24"/>
          <w:szCs w:val="24"/>
        </w:rPr>
        <w:t xml:space="preserve">A rule </w:t>
      </w:r>
      <w:proofErr w:type="gramStart"/>
      <w:r w:rsidRPr="00662853">
        <w:rPr>
          <w:rFonts w:ascii="Verdana" w:eastAsia="Times New Roman" w:hAnsi="Verdana" w:cs="Times New Roman"/>
          <w:color w:val="333333"/>
          <w:sz w:val="24"/>
          <w:szCs w:val="24"/>
        </w:rPr>
        <w:t>similar to</w:t>
      </w:r>
      <w:proofErr w:type="gramEnd"/>
      <w:r w:rsidRPr="00662853">
        <w:rPr>
          <w:rFonts w:ascii="Verdana" w:eastAsia="Times New Roman" w:hAnsi="Verdana" w:cs="Times New Roman"/>
          <w:color w:val="333333"/>
          <w:sz w:val="24"/>
          <w:szCs w:val="24"/>
        </w:rPr>
        <w:t xml:space="preserve"> the rule of </w:t>
      </w:r>
      <w:hyperlink r:id="rId15" w:anchor="e_1_B" w:history="1">
        <w:r w:rsidRPr="00834DA6">
          <w:rPr>
            <w:rFonts w:ascii="Verdana" w:eastAsia="Times New Roman" w:hAnsi="Verdana" w:cs="Times New Roman"/>
            <w:color w:val="333333"/>
            <w:sz w:val="24"/>
            <w:szCs w:val="24"/>
          </w:rPr>
          <w:t>section 469(e)(1)(B)</w:t>
        </w:r>
      </w:hyperlink>
      <w:r w:rsidRPr="00662853">
        <w:rPr>
          <w:rFonts w:ascii="Verdana" w:eastAsia="Times New Roman" w:hAnsi="Verdana" w:cs="Times New Roman"/>
          <w:color w:val="333333"/>
          <w:sz w:val="24"/>
          <w:szCs w:val="24"/>
        </w:rPr>
        <w:t> shall apply for purposes of this subsection.</w:t>
      </w:r>
    </w:p>
    <w:p w14:paraId="748D9CC8" w14:textId="2590121E"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5" w:name="c_4"/>
      <w:bookmarkEnd w:id="25"/>
      <w:r w:rsidRPr="00662853">
        <w:rPr>
          <w:rFonts w:ascii="Verdana" w:eastAsia="Times New Roman" w:hAnsi="Verdana" w:cs="Times New Roman"/>
          <w:b/>
          <w:bCs/>
          <w:color w:val="333333"/>
          <w:sz w:val="24"/>
          <w:szCs w:val="24"/>
        </w:rPr>
        <w:t>(4)</w:t>
      </w:r>
      <w:r w:rsidR="00B80C4E">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Exception for certain active interests in partnerships and S corporations</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In the case of a disposition of an interest in a partnership or S corporation—</w:t>
      </w:r>
    </w:p>
    <w:p w14:paraId="4E9C162B" w14:textId="341C84D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6" w:name="c_4_A"/>
      <w:bookmarkEnd w:id="26"/>
      <w:r w:rsidRPr="00662853">
        <w:rPr>
          <w:rFonts w:ascii="Verdana" w:eastAsia="Times New Roman" w:hAnsi="Verdana" w:cs="Times New Roman"/>
          <w:b/>
          <w:bCs/>
          <w:color w:val="333333"/>
          <w:sz w:val="24"/>
          <w:szCs w:val="24"/>
        </w:rPr>
        <w:t>(A)</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 xml:space="preserve">gain from such disposition shall be </w:t>
      </w:r>
      <w:proofErr w:type="gramStart"/>
      <w:r w:rsidRPr="00662853">
        <w:rPr>
          <w:rFonts w:ascii="Verdana" w:eastAsia="Times New Roman" w:hAnsi="Verdana" w:cs="Times New Roman"/>
          <w:color w:val="333333"/>
          <w:sz w:val="24"/>
          <w:szCs w:val="24"/>
        </w:rPr>
        <w:t>taken into account</w:t>
      </w:r>
      <w:proofErr w:type="gramEnd"/>
      <w:r w:rsidRPr="00662853">
        <w:rPr>
          <w:rFonts w:ascii="Verdana" w:eastAsia="Times New Roman" w:hAnsi="Verdana" w:cs="Times New Roman"/>
          <w:color w:val="333333"/>
          <w:sz w:val="24"/>
          <w:szCs w:val="24"/>
        </w:rPr>
        <w:t xml:space="preserve"> under clause (iii) of paragraph (1)(A) only to the extent of the net gain which would be so taken into account by the transferor if all property of the partnership or S corporation were sold for fair market value immediately before the disposition of such interest, and</w:t>
      </w:r>
    </w:p>
    <w:p w14:paraId="2CB7C96C" w14:textId="2374527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7" w:name="c_4_B"/>
      <w:bookmarkEnd w:id="27"/>
      <w:r w:rsidRPr="00662853">
        <w:rPr>
          <w:rFonts w:ascii="Verdana" w:eastAsia="Times New Roman" w:hAnsi="Verdana" w:cs="Times New Roman"/>
          <w:b/>
          <w:bCs/>
          <w:color w:val="333333"/>
          <w:sz w:val="24"/>
          <w:szCs w:val="24"/>
        </w:rPr>
        <w:t>(B)</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 xml:space="preserve">a rule </w:t>
      </w:r>
      <w:proofErr w:type="gramStart"/>
      <w:r w:rsidRPr="00662853">
        <w:rPr>
          <w:rFonts w:ascii="Verdana" w:eastAsia="Times New Roman" w:hAnsi="Verdana" w:cs="Times New Roman"/>
          <w:color w:val="333333"/>
          <w:sz w:val="24"/>
          <w:szCs w:val="24"/>
        </w:rPr>
        <w:t>similar to</w:t>
      </w:r>
      <w:proofErr w:type="gramEnd"/>
      <w:r w:rsidRPr="00662853">
        <w:rPr>
          <w:rFonts w:ascii="Verdana" w:eastAsia="Times New Roman" w:hAnsi="Verdana" w:cs="Times New Roman"/>
          <w:color w:val="333333"/>
          <w:sz w:val="24"/>
          <w:szCs w:val="24"/>
        </w:rPr>
        <w:t xml:space="preserve"> the rule of subparagraph (A) shall apply to a loss from such disposition.</w:t>
      </w:r>
    </w:p>
    <w:p w14:paraId="21B6EFCE" w14:textId="311FA1D4"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8" w:name="c_5"/>
      <w:bookmarkEnd w:id="28"/>
      <w:r w:rsidRPr="00662853">
        <w:rPr>
          <w:rFonts w:ascii="Verdana" w:eastAsia="Times New Roman" w:hAnsi="Verdana" w:cs="Times New Roman"/>
          <w:b/>
          <w:bCs/>
          <w:color w:val="333333"/>
          <w:sz w:val="24"/>
          <w:szCs w:val="24"/>
        </w:rPr>
        <w:t>(5)</w:t>
      </w:r>
      <w:r w:rsidR="00B80C4E">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Exception for distributions from qualified plans</w:t>
      </w:r>
    </w:p>
    <w:p w14:paraId="021A74D3" w14:textId="77777777" w:rsidR="00662853" w:rsidRPr="00662853" w:rsidRDefault="00662853" w:rsidP="00662853">
      <w:pPr>
        <w:shd w:val="clear" w:color="auto" w:fill="FFFFFF"/>
        <w:spacing w:after="150" w:line="240" w:lineRule="auto"/>
        <w:rPr>
          <w:rFonts w:ascii="Verdana" w:eastAsia="Times New Roman" w:hAnsi="Verdana" w:cs="Times New Roman"/>
          <w:color w:val="333333"/>
          <w:sz w:val="24"/>
          <w:szCs w:val="24"/>
        </w:rPr>
      </w:pPr>
      <w:r w:rsidRPr="00662853">
        <w:rPr>
          <w:rFonts w:ascii="Verdana" w:eastAsia="Times New Roman" w:hAnsi="Verdana" w:cs="Times New Roman"/>
          <w:color w:val="333333"/>
          <w:sz w:val="24"/>
          <w:szCs w:val="24"/>
        </w:rPr>
        <w:t>The term “</w:t>
      </w:r>
      <w:hyperlink r:id="rId16" w:history="1">
        <w:r w:rsidRPr="00834DA6">
          <w:rPr>
            <w:rFonts w:ascii="Verdana" w:eastAsia="Times New Roman" w:hAnsi="Verdana" w:cs="Times New Roman"/>
            <w:color w:val="333333"/>
            <w:sz w:val="24"/>
            <w:szCs w:val="24"/>
          </w:rPr>
          <w:t>net investment income</w:t>
        </w:r>
      </w:hyperlink>
      <w:r w:rsidRPr="00662853">
        <w:rPr>
          <w:rFonts w:ascii="Verdana" w:eastAsia="Times New Roman" w:hAnsi="Verdana" w:cs="Times New Roman"/>
          <w:color w:val="333333"/>
          <w:sz w:val="24"/>
          <w:szCs w:val="24"/>
        </w:rPr>
        <w:t>” shall not include any distribution from a plan or arrangement described in section 401(a), 403(a), 403(b), 408, 408A, or 457(b).</w:t>
      </w:r>
    </w:p>
    <w:p w14:paraId="4C0084F7" w14:textId="408B0A87"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29" w:name="c_6"/>
      <w:bookmarkEnd w:id="29"/>
      <w:r w:rsidRPr="00662853">
        <w:rPr>
          <w:rFonts w:ascii="Verdana" w:eastAsia="Times New Roman" w:hAnsi="Verdana" w:cs="Times New Roman"/>
          <w:b/>
          <w:bCs/>
          <w:color w:val="333333"/>
          <w:sz w:val="24"/>
          <w:szCs w:val="24"/>
        </w:rPr>
        <w:t>(6)</w:t>
      </w:r>
      <w:r w:rsidR="00B80C4E">
        <w:rPr>
          <w:rFonts w:ascii="Verdana" w:eastAsia="Times New Roman" w:hAnsi="Verdana" w:cs="Times New Roman"/>
          <w:b/>
          <w:bCs/>
          <w:color w:val="333333"/>
          <w:sz w:val="24"/>
          <w:szCs w:val="24"/>
        </w:rPr>
        <w:t xml:space="preserve"> </w:t>
      </w:r>
      <w:r w:rsidRPr="00662853">
        <w:rPr>
          <w:rFonts w:ascii="Verdana" w:eastAsia="Times New Roman" w:hAnsi="Verdana" w:cs="Times New Roman"/>
          <w:b/>
          <w:bCs/>
          <w:smallCaps/>
          <w:color w:val="333333"/>
          <w:sz w:val="24"/>
          <w:szCs w:val="24"/>
        </w:rPr>
        <w:t>Special rule</w:t>
      </w:r>
    </w:p>
    <w:p w14:paraId="4AF9C80E" w14:textId="260D8FE2" w:rsidR="00662853" w:rsidRDefault="00662853" w:rsidP="00662853">
      <w:pPr>
        <w:shd w:val="clear" w:color="auto" w:fill="FFFFFF"/>
        <w:spacing w:after="150" w:line="240" w:lineRule="auto"/>
        <w:rPr>
          <w:rFonts w:ascii="Verdana" w:eastAsia="Times New Roman" w:hAnsi="Verdana" w:cs="Times New Roman"/>
          <w:color w:val="333333"/>
          <w:sz w:val="24"/>
          <w:szCs w:val="24"/>
        </w:rPr>
      </w:pPr>
      <w:r w:rsidRPr="00662853">
        <w:rPr>
          <w:rFonts w:ascii="Verdana" w:eastAsia="Times New Roman" w:hAnsi="Verdana" w:cs="Times New Roman"/>
          <w:color w:val="333333"/>
          <w:sz w:val="24"/>
          <w:szCs w:val="24"/>
        </w:rPr>
        <w:t xml:space="preserve">Net investment income shall not include any item </w:t>
      </w:r>
      <w:proofErr w:type="gramStart"/>
      <w:r w:rsidRPr="00662853">
        <w:rPr>
          <w:rFonts w:ascii="Verdana" w:eastAsia="Times New Roman" w:hAnsi="Verdana" w:cs="Times New Roman"/>
          <w:color w:val="333333"/>
          <w:sz w:val="24"/>
          <w:szCs w:val="24"/>
        </w:rPr>
        <w:t>taken into account</w:t>
      </w:r>
      <w:proofErr w:type="gramEnd"/>
      <w:r w:rsidRPr="00662853">
        <w:rPr>
          <w:rFonts w:ascii="Verdana" w:eastAsia="Times New Roman" w:hAnsi="Verdana" w:cs="Times New Roman"/>
          <w:color w:val="333333"/>
          <w:sz w:val="24"/>
          <w:szCs w:val="24"/>
        </w:rPr>
        <w:t xml:space="preserve"> in determining self-employment income for such taxable year on which a tax is imposed by section 1401(b)</w:t>
      </w:r>
      <w:r w:rsidR="00BB5489" w:rsidRPr="00BB5489">
        <w:rPr>
          <w:u w:val="single"/>
        </w:rPr>
        <w:t xml:space="preserve"> </w:t>
      </w:r>
      <w:r w:rsidR="00BB5489" w:rsidRPr="002E14EE">
        <w:rPr>
          <w:rFonts w:ascii="Verdana" w:eastAsia="Times New Roman" w:hAnsi="Verdana" w:cs="Times New Roman"/>
          <w:color w:val="538135" w:themeColor="accent6" w:themeShade="BF"/>
          <w:sz w:val="24"/>
          <w:szCs w:val="24"/>
        </w:rPr>
        <w:t>or wages received with respect to employment on which a tax is imposed under section 3101(b) or 3201(a)</w:t>
      </w:r>
      <w:r w:rsidRPr="00662853">
        <w:rPr>
          <w:rFonts w:ascii="Verdana" w:eastAsia="Times New Roman" w:hAnsi="Verdana" w:cs="Times New Roman"/>
          <w:color w:val="333333"/>
          <w:sz w:val="24"/>
          <w:szCs w:val="24"/>
        </w:rPr>
        <w:t>.</w:t>
      </w:r>
    </w:p>
    <w:p w14:paraId="22A8531E" w14:textId="0B36FB66" w:rsidR="000B58C4" w:rsidRPr="00B80C4E" w:rsidRDefault="000B58C4" w:rsidP="000B58C4">
      <w:pPr>
        <w:shd w:val="clear" w:color="auto" w:fill="FFFFFF"/>
        <w:spacing w:after="0" w:line="240" w:lineRule="auto"/>
        <w:rPr>
          <w:rFonts w:ascii="Verdana" w:eastAsia="Times New Roman" w:hAnsi="Verdana" w:cs="Times New Roman"/>
          <w:b/>
          <w:bCs/>
          <w:color w:val="538135" w:themeColor="accent6" w:themeShade="BF"/>
          <w:sz w:val="24"/>
          <w:szCs w:val="24"/>
        </w:rPr>
      </w:pPr>
      <w:r w:rsidRPr="00B80C4E">
        <w:rPr>
          <w:rFonts w:ascii="Verdana" w:eastAsia="Times New Roman" w:hAnsi="Verdana" w:cs="Times New Roman"/>
          <w:b/>
          <w:bCs/>
          <w:color w:val="538135" w:themeColor="accent6" w:themeShade="BF"/>
          <w:sz w:val="24"/>
          <w:szCs w:val="24"/>
        </w:rPr>
        <w:t xml:space="preserve">(7) </w:t>
      </w:r>
      <w:r w:rsidRPr="00B80C4E">
        <w:rPr>
          <w:rFonts w:ascii="Verdana" w:eastAsia="Times New Roman" w:hAnsi="Verdana" w:cs="Times New Roman"/>
          <w:b/>
          <w:bCs/>
          <w:smallCaps/>
          <w:color w:val="538135" w:themeColor="accent6" w:themeShade="BF"/>
          <w:sz w:val="24"/>
          <w:szCs w:val="24"/>
        </w:rPr>
        <w:t>Certain previously taxed income</w:t>
      </w:r>
    </w:p>
    <w:p w14:paraId="07210723" w14:textId="5E3E9A0A" w:rsidR="00280BA3" w:rsidRPr="00662853" w:rsidRDefault="000B58C4" w:rsidP="00662853">
      <w:pPr>
        <w:shd w:val="clear" w:color="auto" w:fill="FFFFFF"/>
        <w:spacing w:after="150" w:line="240" w:lineRule="auto"/>
        <w:rPr>
          <w:rFonts w:ascii="Verdana" w:eastAsia="Times New Roman" w:hAnsi="Verdana" w:cs="Times New Roman"/>
          <w:color w:val="538135" w:themeColor="accent6" w:themeShade="BF"/>
          <w:sz w:val="24"/>
          <w:szCs w:val="24"/>
        </w:rPr>
      </w:pPr>
      <w:r w:rsidRPr="000B58C4">
        <w:rPr>
          <w:rFonts w:ascii="Verdana" w:eastAsia="Times New Roman" w:hAnsi="Verdana" w:cs="Times New Roman"/>
          <w:color w:val="538135" w:themeColor="accent6" w:themeShade="BF"/>
          <w:sz w:val="24"/>
          <w:szCs w:val="24"/>
        </w:rPr>
        <w:t>The Secretary shall issue regulations or other guidance providing for the treatment of distributions of amounts previously included in gross income for purposes of chapter 1 but not previously subject to tax under this section.</w:t>
      </w:r>
    </w:p>
    <w:p w14:paraId="6B7CA723" w14:textId="28665433"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0" w:name="d"/>
      <w:bookmarkEnd w:id="30"/>
      <w:r w:rsidRPr="00662853">
        <w:rPr>
          <w:rFonts w:ascii="Verdana" w:eastAsia="Times New Roman" w:hAnsi="Verdana" w:cs="Times New Roman"/>
          <w:b/>
          <w:bCs/>
          <w:color w:val="333333"/>
          <w:sz w:val="24"/>
          <w:szCs w:val="24"/>
        </w:rPr>
        <w:t>(d)</w:t>
      </w:r>
      <w:r w:rsidRPr="00662853">
        <w:rPr>
          <w:rFonts w:ascii="Verdana" w:eastAsia="Times New Roman" w:hAnsi="Verdana" w:cs="Times New Roman"/>
          <w:b/>
          <w:bCs/>
          <w:smallCaps/>
          <w:color w:val="333333"/>
          <w:sz w:val="24"/>
          <w:szCs w:val="24"/>
        </w:rPr>
        <w:t>Modified adjusted gross income</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For purposes of this chapter, the term “</w:t>
      </w:r>
      <w:hyperlink r:id="rId17" w:history="1">
        <w:r w:rsidRPr="00834DA6">
          <w:rPr>
            <w:rFonts w:ascii="Verdana" w:eastAsia="Times New Roman" w:hAnsi="Verdana" w:cs="Times New Roman"/>
            <w:color w:val="333333"/>
            <w:sz w:val="24"/>
            <w:szCs w:val="24"/>
          </w:rPr>
          <w:t>modified adjusted gross income</w:t>
        </w:r>
      </w:hyperlink>
      <w:r w:rsidRPr="00662853">
        <w:rPr>
          <w:rFonts w:ascii="Verdana" w:eastAsia="Times New Roman" w:hAnsi="Verdana" w:cs="Times New Roman"/>
          <w:color w:val="333333"/>
          <w:sz w:val="24"/>
          <w:szCs w:val="24"/>
        </w:rPr>
        <w:t>” means adjusted gross income increased by the excess of—</w:t>
      </w:r>
    </w:p>
    <w:p w14:paraId="27B39636" w14:textId="20C2A0EB"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1" w:name="d_1"/>
      <w:bookmarkEnd w:id="31"/>
      <w:r w:rsidRPr="00662853">
        <w:rPr>
          <w:rFonts w:ascii="Verdana" w:eastAsia="Times New Roman" w:hAnsi="Verdana" w:cs="Times New Roman"/>
          <w:b/>
          <w:bCs/>
          <w:color w:val="333333"/>
          <w:sz w:val="24"/>
          <w:szCs w:val="24"/>
        </w:rPr>
        <w:t>(1)</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amount excluded from gross income under section 911(a)(1), over</w:t>
      </w:r>
    </w:p>
    <w:p w14:paraId="3633B039" w14:textId="6638EF46"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2" w:name="d_2"/>
      <w:bookmarkEnd w:id="32"/>
      <w:r w:rsidRPr="00662853">
        <w:rPr>
          <w:rFonts w:ascii="Verdana" w:eastAsia="Times New Roman" w:hAnsi="Verdana" w:cs="Times New Roman"/>
          <w:b/>
          <w:bCs/>
          <w:color w:val="333333"/>
          <w:sz w:val="24"/>
          <w:szCs w:val="24"/>
        </w:rPr>
        <w:t>(2)</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the amount of any deductions (</w:t>
      </w:r>
      <w:proofErr w:type="gramStart"/>
      <w:r w:rsidRPr="00662853">
        <w:rPr>
          <w:rFonts w:ascii="Verdana" w:eastAsia="Times New Roman" w:hAnsi="Verdana" w:cs="Times New Roman"/>
          <w:color w:val="333333"/>
          <w:sz w:val="24"/>
          <w:szCs w:val="24"/>
        </w:rPr>
        <w:t>taken into account</w:t>
      </w:r>
      <w:proofErr w:type="gramEnd"/>
      <w:r w:rsidRPr="00662853">
        <w:rPr>
          <w:rFonts w:ascii="Verdana" w:eastAsia="Times New Roman" w:hAnsi="Verdana" w:cs="Times New Roman"/>
          <w:color w:val="333333"/>
          <w:sz w:val="24"/>
          <w:szCs w:val="24"/>
        </w:rPr>
        <w:t xml:space="preserve"> in computing adjusted gross income) or exclusions disallowed under </w:t>
      </w:r>
      <w:hyperlink r:id="rId18" w:anchor="d_6" w:history="1">
        <w:r w:rsidRPr="00834DA6">
          <w:rPr>
            <w:rFonts w:ascii="Verdana" w:eastAsia="Times New Roman" w:hAnsi="Verdana" w:cs="Times New Roman"/>
            <w:color w:val="333333"/>
            <w:sz w:val="24"/>
            <w:szCs w:val="24"/>
          </w:rPr>
          <w:t>section 911(d)(6)</w:t>
        </w:r>
      </w:hyperlink>
      <w:r w:rsidRPr="00662853">
        <w:rPr>
          <w:rFonts w:ascii="Verdana" w:eastAsia="Times New Roman" w:hAnsi="Verdana" w:cs="Times New Roman"/>
          <w:color w:val="333333"/>
          <w:sz w:val="24"/>
          <w:szCs w:val="24"/>
        </w:rPr>
        <w:t> with respect to the amounts described in paragraph (1).</w:t>
      </w:r>
    </w:p>
    <w:p w14:paraId="77FC585D" w14:textId="78B8E118"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3" w:name="e"/>
      <w:bookmarkEnd w:id="33"/>
      <w:r w:rsidRPr="00662853">
        <w:rPr>
          <w:rFonts w:ascii="Verdana" w:eastAsia="Times New Roman" w:hAnsi="Verdana" w:cs="Times New Roman"/>
          <w:b/>
          <w:bCs/>
          <w:color w:val="333333"/>
          <w:sz w:val="24"/>
          <w:szCs w:val="24"/>
        </w:rPr>
        <w:t>(e)</w:t>
      </w:r>
      <w:r w:rsidRPr="00662853">
        <w:rPr>
          <w:rFonts w:ascii="Verdana" w:eastAsia="Times New Roman" w:hAnsi="Verdana" w:cs="Times New Roman"/>
          <w:b/>
          <w:bCs/>
          <w:smallCaps/>
          <w:color w:val="333333"/>
          <w:sz w:val="24"/>
          <w:szCs w:val="24"/>
        </w:rPr>
        <w:t>Nonapplication of section</w:t>
      </w:r>
      <w:r>
        <w:rPr>
          <w:rFonts w:ascii="Verdana" w:eastAsia="Times New Roman" w:hAnsi="Verdana" w:cs="Times New Roman"/>
          <w:b/>
          <w:bCs/>
          <w:smallCaps/>
          <w:color w:val="333333"/>
          <w:sz w:val="24"/>
          <w:szCs w:val="24"/>
        </w:rPr>
        <w:t xml:space="preserve"> </w:t>
      </w:r>
      <w:r w:rsidRPr="00662853">
        <w:rPr>
          <w:rFonts w:ascii="Verdana" w:eastAsia="Times New Roman" w:hAnsi="Verdana" w:cs="Times New Roman"/>
          <w:color w:val="333333"/>
          <w:sz w:val="24"/>
          <w:szCs w:val="24"/>
        </w:rPr>
        <w:t>This section shall not apply to—</w:t>
      </w:r>
    </w:p>
    <w:p w14:paraId="1DD9634C" w14:textId="0B200B80"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4" w:name="e_1"/>
      <w:bookmarkEnd w:id="34"/>
      <w:r w:rsidRPr="00662853">
        <w:rPr>
          <w:rFonts w:ascii="Verdana" w:eastAsia="Times New Roman" w:hAnsi="Verdana" w:cs="Times New Roman"/>
          <w:b/>
          <w:bCs/>
          <w:color w:val="333333"/>
          <w:sz w:val="24"/>
          <w:szCs w:val="24"/>
        </w:rPr>
        <w:lastRenderedPageBreak/>
        <w:t>(1)</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a nonresident alien, or</w:t>
      </w:r>
    </w:p>
    <w:p w14:paraId="532AFAB4" w14:textId="4D182A1A" w:rsidR="00662853" w:rsidRPr="00662853" w:rsidRDefault="00662853" w:rsidP="00662853">
      <w:pPr>
        <w:shd w:val="clear" w:color="auto" w:fill="FFFFFF"/>
        <w:spacing w:after="0" w:line="240" w:lineRule="auto"/>
        <w:rPr>
          <w:rFonts w:ascii="Verdana" w:eastAsia="Times New Roman" w:hAnsi="Verdana" w:cs="Times New Roman"/>
          <w:color w:val="333333"/>
          <w:sz w:val="24"/>
          <w:szCs w:val="24"/>
        </w:rPr>
      </w:pPr>
      <w:bookmarkStart w:id="35" w:name="e_2"/>
      <w:bookmarkEnd w:id="35"/>
      <w:r w:rsidRPr="00662853">
        <w:rPr>
          <w:rFonts w:ascii="Verdana" w:eastAsia="Times New Roman" w:hAnsi="Verdana" w:cs="Times New Roman"/>
          <w:b/>
          <w:bCs/>
          <w:color w:val="333333"/>
          <w:sz w:val="24"/>
          <w:szCs w:val="24"/>
        </w:rPr>
        <w:t>(2)</w:t>
      </w:r>
      <w:r>
        <w:rPr>
          <w:rFonts w:ascii="Verdana" w:eastAsia="Times New Roman" w:hAnsi="Verdana" w:cs="Times New Roman"/>
          <w:b/>
          <w:bCs/>
          <w:color w:val="333333"/>
          <w:sz w:val="24"/>
          <w:szCs w:val="24"/>
        </w:rPr>
        <w:t xml:space="preserve"> </w:t>
      </w:r>
      <w:r w:rsidRPr="00662853">
        <w:rPr>
          <w:rFonts w:ascii="Verdana" w:eastAsia="Times New Roman" w:hAnsi="Verdana" w:cs="Times New Roman"/>
          <w:color w:val="333333"/>
          <w:sz w:val="24"/>
          <w:szCs w:val="24"/>
        </w:rPr>
        <w:t xml:space="preserve">a trust </w:t>
      </w:r>
      <w:proofErr w:type="gramStart"/>
      <w:r w:rsidRPr="00662853">
        <w:rPr>
          <w:rFonts w:ascii="Verdana" w:eastAsia="Times New Roman" w:hAnsi="Verdana" w:cs="Times New Roman"/>
          <w:color w:val="333333"/>
          <w:sz w:val="24"/>
          <w:szCs w:val="24"/>
        </w:rPr>
        <w:t>all of</w:t>
      </w:r>
      <w:proofErr w:type="gramEnd"/>
      <w:r w:rsidRPr="00662853">
        <w:rPr>
          <w:rFonts w:ascii="Verdana" w:eastAsia="Times New Roman" w:hAnsi="Verdana" w:cs="Times New Roman"/>
          <w:color w:val="333333"/>
          <w:sz w:val="24"/>
          <w:szCs w:val="24"/>
        </w:rPr>
        <w:t xml:space="preserve"> the unexpired interests in which are devoted to one or more of the purposes described in section 170(c)(2)(B).</w:t>
      </w:r>
    </w:p>
    <w:p w14:paraId="32E0AF0C" w14:textId="77777777" w:rsidR="00662853" w:rsidRPr="00662853" w:rsidRDefault="00662853" w:rsidP="00662853">
      <w:pPr>
        <w:shd w:val="clear" w:color="auto" w:fill="FFFFFF"/>
        <w:spacing w:after="60" w:line="240" w:lineRule="auto"/>
        <w:rPr>
          <w:rFonts w:ascii="Verdana" w:eastAsia="Times New Roman" w:hAnsi="Verdana" w:cs="Times New Roman"/>
          <w:color w:val="333333"/>
          <w:sz w:val="24"/>
          <w:szCs w:val="24"/>
        </w:rPr>
      </w:pPr>
      <w:r w:rsidRPr="00662853">
        <w:rPr>
          <w:rFonts w:ascii="Verdana" w:eastAsia="Times New Roman" w:hAnsi="Verdana" w:cs="Times New Roman"/>
          <w:color w:val="333333"/>
          <w:sz w:val="24"/>
          <w:szCs w:val="24"/>
        </w:rPr>
        <w:t>(Added </w:t>
      </w:r>
      <w:hyperlink r:id="rId19" w:history="1">
        <w:r w:rsidRPr="00834DA6">
          <w:rPr>
            <w:rFonts w:ascii="Verdana" w:eastAsia="Times New Roman" w:hAnsi="Verdana" w:cs="Times New Roman"/>
            <w:color w:val="333333"/>
            <w:sz w:val="24"/>
            <w:szCs w:val="24"/>
          </w:rPr>
          <w:t>Pub. L. 111–152, title I, § 1402(a)(1)</w:t>
        </w:r>
      </w:hyperlink>
      <w:r w:rsidRPr="00662853">
        <w:rPr>
          <w:rFonts w:ascii="Verdana" w:eastAsia="Times New Roman" w:hAnsi="Verdana" w:cs="Times New Roman"/>
          <w:color w:val="333333"/>
          <w:sz w:val="24"/>
          <w:szCs w:val="24"/>
        </w:rPr>
        <w:t>, Mar. 30, 2010, </w:t>
      </w:r>
      <w:hyperlink r:id="rId20" w:history="1">
        <w:r w:rsidRPr="00834DA6">
          <w:rPr>
            <w:rFonts w:ascii="Verdana" w:eastAsia="Times New Roman" w:hAnsi="Verdana" w:cs="Times New Roman"/>
            <w:color w:val="333333"/>
            <w:sz w:val="24"/>
            <w:szCs w:val="24"/>
          </w:rPr>
          <w:t>124 Stat. 1061</w:t>
        </w:r>
      </w:hyperlink>
      <w:r w:rsidRPr="00662853">
        <w:rPr>
          <w:rFonts w:ascii="Verdana" w:eastAsia="Times New Roman" w:hAnsi="Verdana" w:cs="Times New Roman"/>
          <w:color w:val="333333"/>
          <w:sz w:val="24"/>
          <w:szCs w:val="24"/>
        </w:rPr>
        <w:t>.)</w:t>
      </w:r>
    </w:p>
    <w:p w14:paraId="600541F9" w14:textId="67A05B3D" w:rsidR="004043E5" w:rsidRDefault="0065067F"/>
    <w:p w14:paraId="2701D383" w14:textId="663CC2DD" w:rsidR="00EE0FC4" w:rsidRPr="002E14EE" w:rsidRDefault="00662853">
      <w:pPr>
        <w:rPr>
          <w:rFonts w:ascii="Verdana" w:eastAsia="Times New Roman" w:hAnsi="Verdana" w:cs="Times New Roman"/>
          <w:b/>
          <w:bCs/>
          <w:smallCap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(f) </w:t>
      </w:r>
      <w:r w:rsidRPr="002E14EE">
        <w:rPr>
          <w:rFonts w:ascii="Verdana" w:eastAsia="Times New Roman" w:hAnsi="Verdana" w:cs="Times New Roman"/>
          <w:b/>
          <w:bCs/>
          <w:smallCaps/>
          <w:color w:val="538135" w:themeColor="accent6" w:themeShade="BF"/>
          <w:sz w:val="24"/>
          <w:szCs w:val="24"/>
        </w:rPr>
        <w:t>A</w:t>
      </w:r>
      <w:r w:rsidR="00EE0FC4" w:rsidRPr="002E14EE">
        <w:rPr>
          <w:rFonts w:ascii="Verdana" w:eastAsia="Times New Roman" w:hAnsi="Verdana" w:cs="Times New Roman"/>
          <w:b/>
          <w:bCs/>
          <w:smallCaps/>
          <w:color w:val="538135" w:themeColor="accent6" w:themeShade="BF"/>
          <w:sz w:val="24"/>
          <w:szCs w:val="24"/>
        </w:rPr>
        <w:t xml:space="preserve">pplication to certain </w:t>
      </w:r>
      <w:proofErr w:type="gramStart"/>
      <w:r w:rsidR="00EE0FC4" w:rsidRPr="002E14EE">
        <w:rPr>
          <w:rFonts w:ascii="Verdana" w:eastAsia="Times New Roman" w:hAnsi="Verdana" w:cs="Times New Roman"/>
          <w:b/>
          <w:bCs/>
          <w:smallCaps/>
          <w:color w:val="538135" w:themeColor="accent6" w:themeShade="BF"/>
          <w:sz w:val="24"/>
          <w:szCs w:val="24"/>
        </w:rPr>
        <w:t>high income</w:t>
      </w:r>
      <w:proofErr w:type="gramEnd"/>
      <w:r w:rsidR="00EE0FC4" w:rsidRPr="002E14EE">
        <w:rPr>
          <w:rFonts w:ascii="Verdana" w:eastAsia="Times New Roman" w:hAnsi="Verdana" w:cs="Times New Roman"/>
          <w:b/>
          <w:bCs/>
          <w:smallCaps/>
          <w:color w:val="538135" w:themeColor="accent6" w:themeShade="BF"/>
          <w:sz w:val="24"/>
          <w:szCs w:val="24"/>
        </w:rPr>
        <w:t xml:space="preserve"> individuals</w:t>
      </w:r>
    </w:p>
    <w:p w14:paraId="19C2DED9" w14:textId="6F6538B3" w:rsidR="00FE648E" w:rsidRPr="002E14EE" w:rsidRDefault="00662853">
      <w:pPr>
        <w:rPr>
          <w:color w:val="538135" w:themeColor="accent6" w:themeShade="BF"/>
        </w:rPr>
      </w:pPr>
      <w:r w:rsidRPr="002E14EE">
        <w:rPr>
          <w:rFonts w:ascii="Verdana" w:eastAsia="Times New Roman" w:hAnsi="Verdana" w:cs="Times New Roman"/>
          <w:b/>
          <w:bCs/>
          <w:color w:val="538135" w:themeColor="accent6" w:themeShade="BF"/>
          <w:sz w:val="24"/>
          <w:szCs w:val="24"/>
        </w:rPr>
        <w:t xml:space="preserve">(1) </w:t>
      </w:r>
      <w:r w:rsidRPr="002E14EE">
        <w:rPr>
          <w:rFonts w:ascii="Verdana" w:eastAsia="Times New Roman" w:hAnsi="Verdana" w:cs="Times New Roman"/>
          <w:b/>
          <w:bCs/>
          <w:smallCaps/>
          <w:color w:val="538135" w:themeColor="accent6" w:themeShade="BF"/>
          <w:sz w:val="24"/>
          <w:szCs w:val="24"/>
        </w:rPr>
        <w:t>I</w:t>
      </w:r>
      <w:r w:rsidR="00FE648E" w:rsidRPr="002E14EE">
        <w:rPr>
          <w:rFonts w:ascii="Verdana" w:eastAsia="Times New Roman" w:hAnsi="Verdana" w:cs="Times New Roman"/>
          <w:b/>
          <w:bCs/>
          <w:smallCaps/>
          <w:color w:val="538135" w:themeColor="accent6" w:themeShade="BF"/>
          <w:sz w:val="24"/>
          <w:szCs w:val="24"/>
        </w:rPr>
        <w:t>n</w:t>
      </w:r>
      <w:r w:rsidRPr="002E14EE">
        <w:rPr>
          <w:rFonts w:ascii="Verdana" w:eastAsia="Times New Roman" w:hAnsi="Verdana" w:cs="Times New Roman"/>
          <w:b/>
          <w:bCs/>
          <w:smallCaps/>
          <w:color w:val="538135" w:themeColor="accent6" w:themeShade="BF"/>
          <w:sz w:val="24"/>
          <w:szCs w:val="24"/>
        </w:rPr>
        <w:t xml:space="preserve"> </w:t>
      </w:r>
      <w:r w:rsidR="00FE648E" w:rsidRPr="002E14EE">
        <w:rPr>
          <w:rFonts w:ascii="Verdana" w:eastAsia="Times New Roman" w:hAnsi="Verdana" w:cs="Times New Roman"/>
          <w:b/>
          <w:bCs/>
          <w:smallCaps/>
          <w:color w:val="538135" w:themeColor="accent6" w:themeShade="BF"/>
          <w:sz w:val="24"/>
          <w:szCs w:val="24"/>
        </w:rPr>
        <w:t>general</w:t>
      </w:r>
      <w:r w:rsidRPr="002E14EE">
        <w:rPr>
          <w:smallCaps/>
          <w:color w:val="538135" w:themeColor="accent6" w:themeShade="BF"/>
        </w:rPr>
        <w:t>.</w:t>
      </w:r>
      <w:r w:rsidR="00FE648E" w:rsidRPr="002E14EE">
        <w:rPr>
          <w:smallCaps/>
          <w:color w:val="538135" w:themeColor="accent6" w:themeShade="BF"/>
        </w:rPr>
        <w:t xml:space="preserve"> </w:t>
      </w:r>
      <w:r w:rsidRPr="002E14EE">
        <w:rPr>
          <w:color w:val="538135" w:themeColor="accent6" w:themeShade="BF"/>
        </w:rPr>
        <w:t>—</w:t>
      </w:r>
      <w:r w:rsidR="00FE648E" w:rsidRPr="002E14EE">
        <w:rPr>
          <w:color w:val="538135" w:themeColor="accent6" w:themeShade="BF"/>
        </w:rPr>
        <w:t xml:space="preserve"> </w:t>
      </w:r>
      <w:r w:rsidRPr="002E14EE">
        <w:rPr>
          <w:rFonts w:ascii="Verdana" w:eastAsia="Times New Roman" w:hAnsi="Verdana" w:cs="Times New Roman"/>
          <w:color w:val="538135" w:themeColor="accent6" w:themeShade="BF"/>
          <w:sz w:val="24"/>
          <w:szCs w:val="24"/>
        </w:rPr>
        <w:t xml:space="preserve">In the case of any individual whose modified adjusted gross income for the taxable year exceeds the </w:t>
      </w:r>
      <w:proofErr w:type="gramStart"/>
      <w:r w:rsidRPr="002E14EE">
        <w:rPr>
          <w:rFonts w:ascii="Verdana" w:eastAsia="Times New Roman" w:hAnsi="Verdana" w:cs="Times New Roman"/>
          <w:color w:val="538135" w:themeColor="accent6" w:themeShade="BF"/>
          <w:sz w:val="24"/>
          <w:szCs w:val="24"/>
        </w:rPr>
        <w:t>high income</w:t>
      </w:r>
      <w:proofErr w:type="gramEnd"/>
      <w:r w:rsidRPr="002E14EE">
        <w:rPr>
          <w:rFonts w:ascii="Verdana" w:eastAsia="Times New Roman" w:hAnsi="Verdana" w:cs="Times New Roman"/>
          <w:color w:val="538135" w:themeColor="accent6" w:themeShade="BF"/>
          <w:sz w:val="24"/>
          <w:szCs w:val="24"/>
        </w:rPr>
        <w:t xml:space="preserve"> threshold amount, subsection (a)(1) shall be applied by substituting ‘the greater of specified net income or net investment income’ for ‘net investment income’ in subparagraph (A) thereof. </w:t>
      </w:r>
    </w:p>
    <w:p w14:paraId="62905ED5" w14:textId="2B8EF8C3" w:rsidR="002A52CC" w:rsidRPr="002E14EE" w:rsidRDefault="00662853">
      <w:pPr>
        <w:rPr>
          <w:rFonts w:ascii="Verdana" w:eastAsia="Times New Roman" w:hAnsi="Verdana" w:cs="Times New Roman"/>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(2) </w:t>
      </w:r>
      <w:r w:rsidRPr="002E14EE">
        <w:rPr>
          <w:rFonts w:ascii="Verdana" w:eastAsia="Times New Roman" w:hAnsi="Verdana" w:cs="Times New Roman"/>
          <w:b/>
          <w:bCs/>
          <w:smallCaps/>
          <w:color w:val="538135" w:themeColor="accent6" w:themeShade="BF"/>
          <w:sz w:val="24"/>
          <w:szCs w:val="24"/>
        </w:rPr>
        <w:t>P</w:t>
      </w:r>
      <w:r w:rsidR="00FD3824" w:rsidRPr="002E14EE">
        <w:rPr>
          <w:rFonts w:ascii="Verdana" w:eastAsia="Times New Roman" w:hAnsi="Verdana" w:cs="Times New Roman"/>
          <w:b/>
          <w:bCs/>
          <w:smallCaps/>
          <w:color w:val="538135" w:themeColor="accent6" w:themeShade="BF"/>
          <w:sz w:val="24"/>
          <w:szCs w:val="24"/>
        </w:rPr>
        <w:t>hase-in of increase</w:t>
      </w:r>
      <w:r w:rsidRPr="002E14EE">
        <w:rPr>
          <w:rFonts w:ascii="Verdana" w:eastAsia="Times New Roman" w:hAnsi="Verdana" w:cs="Times New Roman"/>
          <w:b/>
          <w:bCs/>
          <w:color w:val="538135" w:themeColor="accent6" w:themeShade="BF"/>
          <w:sz w:val="24"/>
          <w:szCs w:val="24"/>
        </w:rPr>
        <w:t>.</w:t>
      </w:r>
      <w:r w:rsidR="00FE648E" w:rsidRPr="002E14EE">
        <w:rPr>
          <w:rFonts w:ascii="Verdana" w:eastAsia="Times New Roman" w:hAnsi="Verdana" w:cs="Times New Roman"/>
          <w:b/>
          <w:bCs/>
          <w:color w:val="538135" w:themeColor="accent6" w:themeShade="BF"/>
          <w:sz w:val="24"/>
          <w:szCs w:val="24"/>
        </w:rPr>
        <w:t xml:space="preserve"> </w:t>
      </w:r>
      <w:r w:rsidRPr="002E14EE">
        <w:rPr>
          <w:color w:val="538135" w:themeColor="accent6" w:themeShade="BF"/>
        </w:rPr>
        <w:t>—</w:t>
      </w:r>
      <w:r w:rsidR="00FE648E" w:rsidRPr="002E14EE">
        <w:rPr>
          <w:color w:val="538135" w:themeColor="accent6" w:themeShade="BF"/>
        </w:rPr>
        <w:t xml:space="preserve"> </w:t>
      </w:r>
      <w:r w:rsidRPr="002E14EE">
        <w:rPr>
          <w:rFonts w:ascii="Verdana" w:eastAsia="Times New Roman" w:hAnsi="Verdana" w:cs="Times New Roman"/>
          <w:color w:val="538135" w:themeColor="accent6" w:themeShade="BF"/>
          <w:sz w:val="24"/>
          <w:szCs w:val="24"/>
        </w:rPr>
        <w:t>The increase in the tax imposed under subsection (a)(1) by reason of the application of paragraph (1) of this subsection shall not exceed the amount which bears the same ratio to the amount of such increase (determined without regard to this paragraph) as—</w:t>
      </w:r>
    </w:p>
    <w:p w14:paraId="7F51B162" w14:textId="77777777" w:rsidR="002A52CC" w:rsidRPr="002E14EE" w:rsidRDefault="00662853">
      <w:pPr>
        <w:rPr>
          <w:rFonts w:ascii="Verdana" w:eastAsia="Times New Roman" w:hAnsi="Verdana" w:cs="Times New Roman"/>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(A)</w:t>
      </w:r>
      <w:r w:rsidRPr="002E14EE">
        <w:rPr>
          <w:rFonts w:ascii="Verdana" w:eastAsia="Times New Roman" w:hAnsi="Verdana" w:cs="Times New Roman"/>
          <w:color w:val="538135" w:themeColor="accent6" w:themeShade="BF"/>
          <w:sz w:val="24"/>
          <w:szCs w:val="24"/>
        </w:rPr>
        <w:t xml:space="preserve"> the excess described in paragraph (1), bears to</w:t>
      </w:r>
    </w:p>
    <w:p w14:paraId="1683DDF6" w14:textId="77777777" w:rsidR="002A52CC" w:rsidRPr="002E14EE" w:rsidRDefault="00662853">
      <w:pPr>
        <w:rPr>
          <w:rFonts w:ascii="Verdana" w:eastAsia="Times New Roman" w:hAnsi="Verdana" w:cs="Times New Roman"/>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(B)</w:t>
      </w:r>
      <w:r w:rsidRPr="002E14EE">
        <w:rPr>
          <w:rFonts w:ascii="Verdana" w:eastAsia="Times New Roman" w:hAnsi="Verdana" w:cs="Times New Roman"/>
          <w:color w:val="538135" w:themeColor="accent6" w:themeShade="BF"/>
          <w:sz w:val="24"/>
          <w:szCs w:val="24"/>
        </w:rPr>
        <w:t xml:space="preserve"> $100,000 (1⁄2 such amount in the case of a married taxpayer (as defined in section 7703) filing a separate return).</w:t>
      </w:r>
    </w:p>
    <w:p w14:paraId="71AC20C3" w14:textId="37435375" w:rsidR="00C311EF"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(3) </w:t>
      </w:r>
      <w:r w:rsidRPr="002E14EE">
        <w:rPr>
          <w:rFonts w:ascii="Verdana" w:eastAsia="Times New Roman" w:hAnsi="Verdana" w:cs="Times New Roman"/>
          <w:b/>
          <w:bCs/>
          <w:smallCaps/>
          <w:color w:val="538135" w:themeColor="accent6" w:themeShade="BF"/>
          <w:sz w:val="24"/>
          <w:szCs w:val="24"/>
        </w:rPr>
        <w:t>H</w:t>
      </w:r>
      <w:r w:rsidR="0055266A" w:rsidRPr="002E14EE">
        <w:rPr>
          <w:rFonts w:ascii="Verdana" w:eastAsia="Times New Roman" w:hAnsi="Verdana" w:cs="Times New Roman"/>
          <w:b/>
          <w:bCs/>
          <w:smallCaps/>
          <w:color w:val="538135" w:themeColor="accent6" w:themeShade="BF"/>
          <w:sz w:val="24"/>
          <w:szCs w:val="24"/>
        </w:rPr>
        <w:t>igh</w:t>
      </w:r>
      <w:r w:rsidRPr="002E14EE">
        <w:rPr>
          <w:rFonts w:ascii="Verdana" w:eastAsia="Times New Roman" w:hAnsi="Verdana" w:cs="Times New Roman"/>
          <w:b/>
          <w:bCs/>
          <w:smallCaps/>
          <w:color w:val="538135" w:themeColor="accent6" w:themeShade="BF"/>
          <w:sz w:val="24"/>
          <w:szCs w:val="24"/>
        </w:rPr>
        <w:t xml:space="preserve"> </w:t>
      </w:r>
      <w:r w:rsidR="00C925DE" w:rsidRPr="002E14EE">
        <w:rPr>
          <w:rFonts w:ascii="Verdana" w:eastAsia="Times New Roman" w:hAnsi="Verdana" w:cs="Times New Roman"/>
          <w:b/>
          <w:bCs/>
          <w:smallCaps/>
          <w:color w:val="538135" w:themeColor="accent6" w:themeShade="BF"/>
          <w:sz w:val="24"/>
          <w:szCs w:val="24"/>
        </w:rPr>
        <w:t>income threshold amount</w:t>
      </w:r>
      <w:r w:rsidRPr="002E14EE">
        <w:rPr>
          <w:rFonts w:ascii="Verdana" w:eastAsia="Times New Roman" w:hAnsi="Verdana" w:cs="Times New Roman"/>
          <w:b/>
          <w:bCs/>
          <w:smallCaps/>
          <w:color w:val="538135" w:themeColor="accent6" w:themeShade="BF"/>
          <w:sz w:val="24"/>
          <w:szCs w:val="24"/>
        </w:rPr>
        <w:t>.</w:t>
      </w:r>
      <w:r w:rsidR="00DF3432" w:rsidRPr="002E14EE">
        <w:rPr>
          <w:rFonts w:ascii="Verdana" w:eastAsia="Times New Roman" w:hAnsi="Verdana" w:cs="Times New Roman"/>
          <w:b/>
          <w:bCs/>
          <w:color w:val="538135" w:themeColor="accent6" w:themeShade="BF"/>
          <w:sz w:val="24"/>
          <w:szCs w:val="24"/>
        </w:rPr>
        <w:t xml:space="preserve"> </w:t>
      </w:r>
      <w:r w:rsidRPr="002E14EE">
        <w:rPr>
          <w:rFonts w:ascii="Verdana" w:eastAsia="Times New Roman" w:hAnsi="Verdana" w:cs="Times New Roman"/>
          <w:b/>
          <w:bCs/>
          <w:color w:val="538135" w:themeColor="accent6" w:themeShade="BF"/>
          <w:sz w:val="24"/>
          <w:szCs w:val="24"/>
        </w:rPr>
        <w:t>—</w:t>
      </w:r>
      <w:r w:rsidR="00C925DE" w:rsidRPr="002E14EE">
        <w:rPr>
          <w:rFonts w:ascii="Verdana" w:eastAsia="Times New Roman" w:hAnsi="Verdana" w:cs="Times New Roman"/>
          <w:b/>
          <w:bCs/>
          <w:color w:val="538135" w:themeColor="accent6" w:themeShade="BF"/>
          <w:sz w:val="24"/>
          <w:szCs w:val="24"/>
        </w:rPr>
        <w:t xml:space="preserve"> </w:t>
      </w:r>
      <w:r w:rsidRPr="002E14EE">
        <w:rPr>
          <w:rFonts w:ascii="Verdana" w:eastAsia="Times New Roman" w:hAnsi="Verdana" w:cs="Times New Roman"/>
          <w:color w:val="538135" w:themeColor="accent6" w:themeShade="BF"/>
          <w:sz w:val="24"/>
          <w:szCs w:val="24"/>
        </w:rPr>
        <w:t>For purposes of this subsection, the term ‘high income threshold amount’ means—</w:t>
      </w:r>
    </w:p>
    <w:p w14:paraId="392DAB6B" w14:textId="77777777" w:rsidR="00C311EF"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(A) </w:t>
      </w:r>
      <w:r w:rsidRPr="002E14EE">
        <w:rPr>
          <w:rFonts w:ascii="Verdana" w:eastAsia="Times New Roman" w:hAnsi="Verdana" w:cs="Times New Roman"/>
          <w:color w:val="538135" w:themeColor="accent6" w:themeShade="BF"/>
          <w:sz w:val="24"/>
          <w:szCs w:val="24"/>
        </w:rPr>
        <w:t>except as provided in subparagraph (B) or (C), $400,000,</w:t>
      </w:r>
      <w:r w:rsidRPr="002E14EE">
        <w:rPr>
          <w:rFonts w:ascii="Verdana" w:eastAsia="Times New Roman" w:hAnsi="Verdana" w:cs="Times New Roman"/>
          <w:b/>
          <w:bCs/>
          <w:color w:val="538135" w:themeColor="accent6" w:themeShade="BF"/>
          <w:sz w:val="24"/>
          <w:szCs w:val="24"/>
        </w:rPr>
        <w:t xml:space="preserve"> </w:t>
      </w:r>
    </w:p>
    <w:p w14:paraId="4884CF26" w14:textId="77777777" w:rsidR="008A3846" w:rsidRPr="002E14EE" w:rsidRDefault="00662853">
      <w:pPr>
        <w:rPr>
          <w:rFonts w:ascii="Verdana" w:eastAsia="Times New Roman" w:hAnsi="Verdana" w:cs="Times New Roman"/>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(B) </w:t>
      </w:r>
      <w:r w:rsidRPr="002E14EE">
        <w:rPr>
          <w:rFonts w:ascii="Verdana" w:eastAsia="Times New Roman" w:hAnsi="Verdana" w:cs="Times New Roman"/>
          <w:color w:val="538135" w:themeColor="accent6" w:themeShade="BF"/>
          <w:sz w:val="24"/>
          <w:szCs w:val="24"/>
        </w:rPr>
        <w:t xml:space="preserve">in the case of a taxpayer making a joint return under section 6013 or a surviving spouse (as defined in section 2(a)), $500,000, and </w:t>
      </w:r>
    </w:p>
    <w:p w14:paraId="2350E8B7" w14:textId="77777777" w:rsidR="008A3846"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(C) </w:t>
      </w:r>
      <w:r w:rsidRPr="002E14EE">
        <w:rPr>
          <w:rFonts w:ascii="Verdana" w:eastAsia="Times New Roman" w:hAnsi="Verdana" w:cs="Times New Roman"/>
          <w:color w:val="538135" w:themeColor="accent6" w:themeShade="BF"/>
          <w:sz w:val="24"/>
          <w:szCs w:val="24"/>
        </w:rPr>
        <w:t>in the case of a married taxpayer (as defined in section 7703) filing a separate return, 1 ⁄2 of the dollar amount determined under subparagraph (B).</w:t>
      </w:r>
    </w:p>
    <w:p w14:paraId="2329947D" w14:textId="0588CF84" w:rsidR="00A0182C"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(4) </w:t>
      </w:r>
      <w:r w:rsidRPr="00804889">
        <w:rPr>
          <w:rFonts w:ascii="Verdana" w:eastAsia="Times New Roman" w:hAnsi="Verdana" w:cs="Times New Roman"/>
          <w:b/>
          <w:bCs/>
          <w:smallCaps/>
          <w:color w:val="538135" w:themeColor="accent6" w:themeShade="BF"/>
          <w:sz w:val="24"/>
          <w:szCs w:val="24"/>
        </w:rPr>
        <w:t>S</w:t>
      </w:r>
      <w:r w:rsidR="00FF3710" w:rsidRPr="00804889">
        <w:rPr>
          <w:rFonts w:ascii="Verdana" w:eastAsia="Times New Roman" w:hAnsi="Verdana" w:cs="Times New Roman"/>
          <w:b/>
          <w:bCs/>
          <w:smallCaps/>
          <w:color w:val="538135" w:themeColor="accent6" w:themeShade="BF"/>
          <w:sz w:val="24"/>
          <w:szCs w:val="24"/>
        </w:rPr>
        <w:t xml:space="preserve">pecified net </w:t>
      </w:r>
      <w:proofErr w:type="gramStart"/>
      <w:r w:rsidR="00FF3710" w:rsidRPr="00804889">
        <w:rPr>
          <w:rFonts w:ascii="Verdana" w:eastAsia="Times New Roman" w:hAnsi="Verdana" w:cs="Times New Roman"/>
          <w:b/>
          <w:bCs/>
          <w:smallCaps/>
          <w:color w:val="538135" w:themeColor="accent6" w:themeShade="BF"/>
          <w:sz w:val="24"/>
          <w:szCs w:val="24"/>
        </w:rPr>
        <w:t>income</w:t>
      </w:r>
      <w:r w:rsidRPr="00804889">
        <w:rPr>
          <w:rFonts w:ascii="Verdana" w:eastAsia="Times New Roman" w:hAnsi="Verdana" w:cs="Times New Roman"/>
          <w:b/>
          <w:bCs/>
          <w:smallCaps/>
          <w:color w:val="538135" w:themeColor="accent6" w:themeShade="BF"/>
          <w:sz w:val="24"/>
          <w:szCs w:val="24"/>
        </w:rPr>
        <w:t>.</w:t>
      </w:r>
      <w:r w:rsidRPr="002E14EE">
        <w:rPr>
          <w:rFonts w:ascii="Verdana" w:eastAsia="Times New Roman" w:hAnsi="Verdana" w:cs="Times New Roman"/>
          <w:b/>
          <w:bCs/>
          <w:color w:val="538135" w:themeColor="accent6" w:themeShade="BF"/>
          <w:sz w:val="24"/>
          <w:szCs w:val="24"/>
        </w:rPr>
        <w:t>—</w:t>
      </w:r>
      <w:proofErr w:type="gramEnd"/>
      <w:r w:rsidR="00836E84" w:rsidRPr="002E14EE">
        <w:rPr>
          <w:rFonts w:ascii="Verdana" w:eastAsia="Times New Roman" w:hAnsi="Verdana" w:cs="Times New Roman"/>
          <w:b/>
          <w:bCs/>
          <w:color w:val="538135" w:themeColor="accent6" w:themeShade="BF"/>
          <w:sz w:val="24"/>
          <w:szCs w:val="24"/>
        </w:rPr>
        <w:t xml:space="preserve"> </w:t>
      </w:r>
      <w:r w:rsidRPr="002E14EE">
        <w:rPr>
          <w:rFonts w:ascii="Verdana" w:eastAsia="Times New Roman" w:hAnsi="Verdana" w:cs="Times New Roman"/>
          <w:color w:val="538135" w:themeColor="accent6" w:themeShade="BF"/>
          <w:sz w:val="24"/>
          <w:szCs w:val="24"/>
        </w:rPr>
        <w:t>For purposes of this section, the term ‘specified net income’ means net investment income determined—</w:t>
      </w:r>
    </w:p>
    <w:p w14:paraId="3BC9B3C4" w14:textId="77777777" w:rsidR="00457232"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(A) </w:t>
      </w:r>
      <w:r w:rsidRPr="002E14EE">
        <w:rPr>
          <w:rFonts w:ascii="Verdana" w:eastAsia="Times New Roman" w:hAnsi="Verdana" w:cs="Times New Roman"/>
          <w:color w:val="538135" w:themeColor="accent6" w:themeShade="BF"/>
          <w:sz w:val="24"/>
          <w:szCs w:val="24"/>
        </w:rPr>
        <w:t>without regard to the phrase ‘other than such income which is derived in the ordinary course of a trade or business not described in paragraph (2),’ in subsection (c)(1)(A)(</w:t>
      </w:r>
      <w:proofErr w:type="spellStart"/>
      <w:r w:rsidRPr="002E14EE">
        <w:rPr>
          <w:rFonts w:ascii="Verdana" w:eastAsia="Times New Roman" w:hAnsi="Verdana" w:cs="Times New Roman"/>
          <w:color w:val="538135" w:themeColor="accent6" w:themeShade="BF"/>
          <w:sz w:val="24"/>
          <w:szCs w:val="24"/>
        </w:rPr>
        <w:t>i</w:t>
      </w:r>
      <w:proofErr w:type="spellEnd"/>
      <w:r w:rsidRPr="002E14EE">
        <w:rPr>
          <w:rFonts w:ascii="Verdana" w:eastAsia="Times New Roman" w:hAnsi="Verdana" w:cs="Times New Roman"/>
          <w:color w:val="538135" w:themeColor="accent6" w:themeShade="BF"/>
          <w:sz w:val="24"/>
          <w:szCs w:val="24"/>
        </w:rPr>
        <w:t xml:space="preserve">), </w:t>
      </w:r>
    </w:p>
    <w:p w14:paraId="69B58FB4" w14:textId="77777777" w:rsidR="00457232"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(B) </w:t>
      </w:r>
      <w:r w:rsidRPr="002E14EE">
        <w:rPr>
          <w:rFonts w:ascii="Verdana" w:eastAsia="Times New Roman" w:hAnsi="Verdana" w:cs="Times New Roman"/>
          <w:color w:val="538135" w:themeColor="accent6" w:themeShade="BF"/>
          <w:sz w:val="24"/>
          <w:szCs w:val="24"/>
        </w:rPr>
        <w:t>without regard to the phrase ‘described in paragraph (2)’ in subsection 12 (c)(1)(A)(ii),</w:t>
      </w:r>
    </w:p>
    <w:p w14:paraId="35AF6669" w14:textId="77777777" w:rsidR="00F60DA8"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lastRenderedPageBreak/>
        <w:t xml:space="preserve">(C) </w:t>
      </w:r>
      <w:r w:rsidRPr="002E14EE">
        <w:rPr>
          <w:rFonts w:ascii="Verdana" w:eastAsia="Times New Roman" w:hAnsi="Verdana" w:cs="Times New Roman"/>
          <w:color w:val="538135" w:themeColor="accent6" w:themeShade="BF"/>
          <w:sz w:val="24"/>
          <w:szCs w:val="24"/>
        </w:rPr>
        <w:t>without regard to the phrase ‘other than property held in a trade or business not described in paragraph (2)’ in subsection (c)(1)(A)(iii),</w:t>
      </w:r>
    </w:p>
    <w:p w14:paraId="6EAA1626" w14:textId="77777777" w:rsidR="00F60DA8" w:rsidRPr="002E14EE" w:rsidRDefault="00662853">
      <w:pPr>
        <w:rPr>
          <w:rFonts w:ascii="Verdana" w:eastAsia="Times New Roman" w:hAnsi="Verdana" w:cs="Times New Roman"/>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(D) </w:t>
      </w:r>
      <w:r w:rsidRPr="002E14EE">
        <w:rPr>
          <w:rFonts w:ascii="Verdana" w:eastAsia="Times New Roman" w:hAnsi="Verdana" w:cs="Times New Roman"/>
          <w:color w:val="538135" w:themeColor="accent6" w:themeShade="BF"/>
          <w:sz w:val="24"/>
          <w:szCs w:val="24"/>
        </w:rPr>
        <w:t>without regard to paragraphs (2), (3), and (4) of subsection (c), and</w:t>
      </w:r>
    </w:p>
    <w:p w14:paraId="1FC985AB" w14:textId="3D3C8138" w:rsidR="000C19A4" w:rsidRPr="002E14EE" w:rsidRDefault="00662853">
      <w:pPr>
        <w:rPr>
          <w:rFonts w:ascii="Verdana" w:eastAsia="Times New Roman" w:hAnsi="Verdana" w:cs="Times New Roman"/>
          <w:b/>
          <w:bCs/>
          <w:color w:val="538135" w:themeColor="accent6" w:themeShade="BF"/>
          <w:sz w:val="24"/>
          <w:szCs w:val="24"/>
        </w:rPr>
      </w:pPr>
      <w:r w:rsidRPr="002E14EE">
        <w:rPr>
          <w:rFonts w:ascii="Verdana" w:eastAsia="Times New Roman" w:hAnsi="Verdana" w:cs="Times New Roman"/>
          <w:b/>
          <w:bCs/>
          <w:color w:val="538135" w:themeColor="accent6" w:themeShade="BF"/>
          <w:sz w:val="24"/>
          <w:szCs w:val="24"/>
        </w:rPr>
        <w:t xml:space="preserve">(E) </w:t>
      </w:r>
      <w:r w:rsidRPr="002E14EE">
        <w:rPr>
          <w:rFonts w:ascii="Verdana" w:eastAsia="Times New Roman" w:hAnsi="Verdana" w:cs="Times New Roman"/>
          <w:color w:val="538135" w:themeColor="accent6" w:themeShade="BF"/>
          <w:sz w:val="24"/>
          <w:szCs w:val="24"/>
        </w:rPr>
        <w:t>by treating paragraphs (5) and (6) of section 469(c) as applying for purposes of subsection (c) of this section.</w:t>
      </w:r>
    </w:p>
    <w:p w14:paraId="3E2465DD" w14:textId="3286E6D6" w:rsidR="00805962" w:rsidRDefault="00834DA6">
      <w:r>
        <w:rPr>
          <w:rFonts w:ascii="Verdana" w:eastAsia="Times New Roman" w:hAnsi="Verdana" w:cs="Times New Roman"/>
          <w:b/>
          <w:bCs/>
          <w:color w:val="333333"/>
          <w:sz w:val="24"/>
          <w:szCs w:val="24"/>
        </w:rPr>
        <w:t>The</w:t>
      </w:r>
      <w:r>
        <w:rPr>
          <w:rFonts w:ascii="Verdana" w:eastAsia="Times New Roman" w:hAnsi="Verdana" w:cs="Times New Roman"/>
          <w:b/>
          <w:bCs/>
          <w:color w:val="333333"/>
          <w:sz w:val="24"/>
          <w:szCs w:val="24"/>
        </w:rPr>
        <w:t xml:space="preserve"> Build Back Better Act </w:t>
      </w:r>
      <w:r>
        <w:rPr>
          <w:rFonts w:ascii="Verdana" w:eastAsia="Times New Roman" w:hAnsi="Verdana" w:cs="Times New Roman"/>
          <w:b/>
          <w:bCs/>
          <w:color w:val="333333"/>
          <w:sz w:val="24"/>
          <w:szCs w:val="24"/>
        </w:rPr>
        <w:t>also</w:t>
      </w:r>
      <w:r w:rsidR="00EB6829">
        <w:rPr>
          <w:rFonts w:ascii="Verdana" w:eastAsia="Times New Roman" w:hAnsi="Verdana" w:cs="Times New Roman"/>
          <w:b/>
          <w:bCs/>
          <w:color w:val="333333"/>
          <w:sz w:val="24"/>
          <w:szCs w:val="24"/>
        </w:rPr>
        <w:t xml:space="preserve"> includes this language but it isn’t clear where it “goes” inside the final Section 1411</w:t>
      </w:r>
      <w:r w:rsidR="00914AD2">
        <w:rPr>
          <w:rFonts w:ascii="Verdana" w:eastAsia="Times New Roman" w:hAnsi="Verdana" w:cs="Times New Roman"/>
          <w:b/>
          <w:bCs/>
          <w:color w:val="333333"/>
          <w:sz w:val="24"/>
          <w:szCs w:val="24"/>
        </w:rPr>
        <w:t>.</w:t>
      </w:r>
    </w:p>
    <w:p w14:paraId="0F0518B4" w14:textId="508FB910" w:rsidR="00805962" w:rsidRPr="00B229C4" w:rsidRDefault="00662853">
      <w:pPr>
        <w:rPr>
          <w:rFonts w:ascii="Verdana" w:hAnsi="Verdana"/>
          <w:color w:val="538135" w:themeColor="accent6" w:themeShade="BF"/>
          <w:sz w:val="24"/>
          <w:szCs w:val="24"/>
        </w:rPr>
      </w:pPr>
      <w:r w:rsidRPr="00B229C4">
        <w:rPr>
          <w:rFonts w:ascii="Verdana" w:hAnsi="Verdana"/>
          <w:color w:val="538135" w:themeColor="accent6" w:themeShade="BF"/>
          <w:sz w:val="24"/>
          <w:szCs w:val="24"/>
        </w:rPr>
        <w:t xml:space="preserve">(d) EFFECTIVE </w:t>
      </w:r>
      <w:proofErr w:type="gramStart"/>
      <w:r w:rsidRPr="00B229C4">
        <w:rPr>
          <w:rFonts w:ascii="Verdana" w:hAnsi="Verdana"/>
          <w:color w:val="538135" w:themeColor="accent6" w:themeShade="BF"/>
          <w:sz w:val="24"/>
          <w:szCs w:val="24"/>
        </w:rPr>
        <w:t>DATE.—</w:t>
      </w:r>
      <w:proofErr w:type="gramEnd"/>
      <w:r w:rsidRPr="00B229C4">
        <w:rPr>
          <w:rFonts w:ascii="Verdana" w:hAnsi="Verdana"/>
          <w:color w:val="538135" w:themeColor="accent6" w:themeShade="BF"/>
          <w:sz w:val="24"/>
          <w:szCs w:val="24"/>
        </w:rPr>
        <w:t xml:space="preserve">The amendments made by this section shall apply to taxable years beginning after December 31, 2021. </w:t>
      </w:r>
    </w:p>
    <w:p w14:paraId="0DD92761" w14:textId="20C8E705" w:rsidR="00662853" w:rsidRPr="00B229C4" w:rsidRDefault="00662853">
      <w:pPr>
        <w:rPr>
          <w:rFonts w:ascii="Verdana" w:hAnsi="Verdana"/>
          <w:color w:val="538135" w:themeColor="accent6" w:themeShade="BF"/>
          <w:sz w:val="24"/>
          <w:szCs w:val="24"/>
        </w:rPr>
      </w:pPr>
      <w:r w:rsidRPr="00B229C4">
        <w:rPr>
          <w:rFonts w:ascii="Verdana" w:hAnsi="Verdana"/>
          <w:color w:val="538135" w:themeColor="accent6" w:themeShade="BF"/>
          <w:sz w:val="24"/>
          <w:szCs w:val="24"/>
        </w:rPr>
        <w:t xml:space="preserve">(e) TRANSITION </w:t>
      </w:r>
      <w:proofErr w:type="gramStart"/>
      <w:r w:rsidRPr="00B229C4">
        <w:rPr>
          <w:rFonts w:ascii="Verdana" w:hAnsi="Verdana"/>
          <w:color w:val="538135" w:themeColor="accent6" w:themeShade="BF"/>
          <w:sz w:val="24"/>
          <w:szCs w:val="24"/>
        </w:rPr>
        <w:t>RULE.—</w:t>
      </w:r>
      <w:proofErr w:type="gramEnd"/>
      <w:r w:rsidRPr="00B229C4">
        <w:rPr>
          <w:rFonts w:ascii="Verdana" w:hAnsi="Verdana"/>
          <w:color w:val="538135" w:themeColor="accent6" w:themeShade="BF"/>
          <w:sz w:val="24"/>
          <w:szCs w:val="24"/>
        </w:rPr>
        <w:t>The regulations or other guidance issued by the Secretary under section 1411(c)(7) of the Internal Revenue Code of 1986 (as added by this section) shall include provisions which provide for the proper coordination and application of clauses (</w:t>
      </w:r>
      <w:proofErr w:type="spellStart"/>
      <w:r w:rsidRPr="00B229C4">
        <w:rPr>
          <w:rFonts w:ascii="Verdana" w:hAnsi="Verdana"/>
          <w:color w:val="538135" w:themeColor="accent6" w:themeShade="BF"/>
          <w:sz w:val="24"/>
          <w:szCs w:val="24"/>
        </w:rPr>
        <w:t>i</w:t>
      </w:r>
      <w:proofErr w:type="spellEnd"/>
      <w:r w:rsidRPr="00B229C4">
        <w:rPr>
          <w:rFonts w:ascii="Verdana" w:hAnsi="Verdana"/>
          <w:color w:val="538135" w:themeColor="accent6" w:themeShade="BF"/>
          <w:sz w:val="24"/>
          <w:szCs w:val="24"/>
        </w:rPr>
        <w:t>) and (iv) of section 1411(c)(1)(A) with respect to—(1) taxable years beginning on or before December 31, 2021, and (2) taxable years beginning after such date.</w:t>
      </w:r>
    </w:p>
    <w:sectPr w:rsidR="00662853" w:rsidRPr="00B22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53"/>
    <w:rsid w:val="0000429B"/>
    <w:rsid w:val="000B58C4"/>
    <w:rsid w:val="000C19A4"/>
    <w:rsid w:val="000E766B"/>
    <w:rsid w:val="00101568"/>
    <w:rsid w:val="00280BA3"/>
    <w:rsid w:val="002A52CC"/>
    <w:rsid w:val="002B0E0A"/>
    <w:rsid w:val="002E14EE"/>
    <w:rsid w:val="003127FB"/>
    <w:rsid w:val="003509FB"/>
    <w:rsid w:val="003C7C90"/>
    <w:rsid w:val="003D7DBB"/>
    <w:rsid w:val="00457232"/>
    <w:rsid w:val="004871A9"/>
    <w:rsid w:val="00535C89"/>
    <w:rsid w:val="0055266A"/>
    <w:rsid w:val="00582AC5"/>
    <w:rsid w:val="00593649"/>
    <w:rsid w:val="005C376D"/>
    <w:rsid w:val="0060112C"/>
    <w:rsid w:val="00614FE6"/>
    <w:rsid w:val="0065067F"/>
    <w:rsid w:val="00662853"/>
    <w:rsid w:val="00664828"/>
    <w:rsid w:val="006B0666"/>
    <w:rsid w:val="00714EF0"/>
    <w:rsid w:val="007552FC"/>
    <w:rsid w:val="007A2AA1"/>
    <w:rsid w:val="007B71E6"/>
    <w:rsid w:val="00804889"/>
    <w:rsid w:val="00805962"/>
    <w:rsid w:val="00834DA6"/>
    <w:rsid w:val="00836E84"/>
    <w:rsid w:val="008A3846"/>
    <w:rsid w:val="00914AD2"/>
    <w:rsid w:val="00991CB3"/>
    <w:rsid w:val="00A0182C"/>
    <w:rsid w:val="00A05038"/>
    <w:rsid w:val="00A330AA"/>
    <w:rsid w:val="00A75DD9"/>
    <w:rsid w:val="00AE0DA6"/>
    <w:rsid w:val="00B229C4"/>
    <w:rsid w:val="00B50E6E"/>
    <w:rsid w:val="00B80C4E"/>
    <w:rsid w:val="00BB5489"/>
    <w:rsid w:val="00C15A04"/>
    <w:rsid w:val="00C311EF"/>
    <w:rsid w:val="00C925DE"/>
    <w:rsid w:val="00CE2BAF"/>
    <w:rsid w:val="00DC0056"/>
    <w:rsid w:val="00DF3432"/>
    <w:rsid w:val="00E05A36"/>
    <w:rsid w:val="00E623B0"/>
    <w:rsid w:val="00EB6829"/>
    <w:rsid w:val="00EE0FC4"/>
    <w:rsid w:val="00F30354"/>
    <w:rsid w:val="00F32D8D"/>
    <w:rsid w:val="00F432DD"/>
    <w:rsid w:val="00F4798E"/>
    <w:rsid w:val="00F60DA8"/>
    <w:rsid w:val="00F6185A"/>
    <w:rsid w:val="00FD3824"/>
    <w:rsid w:val="00FE648E"/>
    <w:rsid w:val="00FF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1BD0"/>
  <w15:chartTrackingRefBased/>
  <w15:docId w15:val="{EE823A9E-D15A-4951-A8E1-D14CDDD4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662853"/>
  </w:style>
  <w:style w:type="character" w:customStyle="1" w:styleId="heading">
    <w:name w:val="heading"/>
    <w:basedOn w:val="DefaultParagraphFont"/>
    <w:rsid w:val="00662853"/>
  </w:style>
  <w:style w:type="character" w:customStyle="1" w:styleId="chapeau">
    <w:name w:val="chapeau"/>
    <w:basedOn w:val="DefaultParagraphFont"/>
    <w:rsid w:val="00662853"/>
  </w:style>
  <w:style w:type="character" w:styleId="Hyperlink">
    <w:name w:val="Hyperlink"/>
    <w:basedOn w:val="DefaultParagraphFont"/>
    <w:uiPriority w:val="99"/>
    <w:semiHidden/>
    <w:unhideWhenUsed/>
    <w:rsid w:val="00662853"/>
    <w:rPr>
      <w:color w:val="0000FF"/>
      <w:u w:val="single"/>
    </w:rPr>
  </w:style>
  <w:style w:type="paragraph" w:styleId="NormalWeb">
    <w:name w:val="Normal (Web)"/>
    <w:basedOn w:val="Normal"/>
    <w:uiPriority w:val="99"/>
    <w:semiHidden/>
    <w:unhideWhenUsed/>
    <w:rsid w:val="00662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66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1623">
      <w:bodyDiv w:val="1"/>
      <w:marLeft w:val="0"/>
      <w:marRight w:val="0"/>
      <w:marTop w:val="0"/>
      <w:marBottom w:val="0"/>
      <w:divBdr>
        <w:top w:val="none" w:sz="0" w:space="0" w:color="auto"/>
        <w:left w:val="none" w:sz="0" w:space="0" w:color="auto"/>
        <w:bottom w:val="none" w:sz="0" w:space="0" w:color="auto"/>
        <w:right w:val="none" w:sz="0" w:space="0" w:color="auto"/>
      </w:divBdr>
      <w:divsChild>
        <w:div w:id="1836022468">
          <w:marLeft w:val="0"/>
          <w:marRight w:val="0"/>
          <w:marTop w:val="0"/>
          <w:marBottom w:val="0"/>
          <w:divBdr>
            <w:top w:val="none" w:sz="0" w:space="0" w:color="auto"/>
            <w:left w:val="none" w:sz="0" w:space="0" w:color="auto"/>
            <w:bottom w:val="none" w:sz="0" w:space="0" w:color="auto"/>
            <w:right w:val="none" w:sz="0" w:space="0" w:color="auto"/>
          </w:divBdr>
          <w:divsChild>
            <w:div w:id="1722632814">
              <w:marLeft w:val="0"/>
              <w:marRight w:val="0"/>
              <w:marTop w:val="0"/>
              <w:marBottom w:val="0"/>
              <w:divBdr>
                <w:top w:val="none" w:sz="0" w:space="0" w:color="auto"/>
                <w:left w:val="none" w:sz="0" w:space="0" w:color="auto"/>
                <w:bottom w:val="none" w:sz="0" w:space="0" w:color="auto"/>
                <w:right w:val="none" w:sz="0" w:space="0" w:color="auto"/>
              </w:divBdr>
              <w:divsChild>
                <w:div w:id="313147085">
                  <w:marLeft w:val="0"/>
                  <w:marRight w:val="0"/>
                  <w:marTop w:val="0"/>
                  <w:marBottom w:val="0"/>
                  <w:divBdr>
                    <w:top w:val="none" w:sz="0" w:space="0" w:color="auto"/>
                    <w:left w:val="none" w:sz="0" w:space="0" w:color="auto"/>
                    <w:bottom w:val="none" w:sz="0" w:space="0" w:color="auto"/>
                    <w:right w:val="none" w:sz="0" w:space="0" w:color="auto"/>
                  </w:divBdr>
                  <w:divsChild>
                    <w:div w:id="96676737">
                      <w:marLeft w:val="-225"/>
                      <w:marRight w:val="-225"/>
                      <w:marTop w:val="0"/>
                      <w:marBottom w:val="0"/>
                      <w:divBdr>
                        <w:top w:val="none" w:sz="0" w:space="0" w:color="auto"/>
                        <w:left w:val="none" w:sz="0" w:space="0" w:color="auto"/>
                        <w:bottom w:val="none" w:sz="0" w:space="0" w:color="auto"/>
                        <w:right w:val="none" w:sz="0" w:space="0" w:color="auto"/>
                      </w:divBdr>
                      <w:divsChild>
                        <w:div w:id="792555184">
                          <w:marLeft w:val="0"/>
                          <w:marRight w:val="0"/>
                          <w:marTop w:val="0"/>
                          <w:marBottom w:val="0"/>
                          <w:divBdr>
                            <w:top w:val="single" w:sz="6" w:space="8" w:color="EEEEEE"/>
                            <w:left w:val="single" w:sz="6" w:space="8" w:color="EEEEEE"/>
                            <w:bottom w:val="single" w:sz="6" w:space="8" w:color="EEEEEE"/>
                            <w:right w:val="single" w:sz="6" w:space="8" w:color="EEEEEE"/>
                          </w:divBdr>
                          <w:divsChild>
                            <w:div w:id="76757207">
                              <w:marLeft w:val="0"/>
                              <w:marRight w:val="0"/>
                              <w:marTop w:val="0"/>
                              <w:marBottom w:val="0"/>
                              <w:divBdr>
                                <w:top w:val="none" w:sz="0" w:space="0" w:color="auto"/>
                                <w:left w:val="none" w:sz="0" w:space="0" w:color="auto"/>
                                <w:bottom w:val="none" w:sz="0" w:space="0" w:color="auto"/>
                                <w:right w:val="none" w:sz="0" w:space="0" w:color="auto"/>
                              </w:divBdr>
                              <w:divsChild>
                                <w:div w:id="1710106417">
                                  <w:marLeft w:val="0"/>
                                  <w:marRight w:val="0"/>
                                  <w:marTop w:val="0"/>
                                  <w:marBottom w:val="0"/>
                                  <w:divBdr>
                                    <w:top w:val="single" w:sz="6" w:space="11" w:color="EEEEEE"/>
                                    <w:left w:val="none" w:sz="0" w:space="0" w:color="auto"/>
                                    <w:bottom w:val="none" w:sz="0" w:space="11" w:color="auto"/>
                                    <w:right w:val="none" w:sz="0" w:space="0" w:color="auto"/>
                                  </w:divBdr>
                                  <w:divsChild>
                                    <w:div w:id="18506505">
                                      <w:marLeft w:val="0"/>
                                      <w:marRight w:val="0"/>
                                      <w:marTop w:val="0"/>
                                      <w:marBottom w:val="0"/>
                                      <w:divBdr>
                                        <w:top w:val="none" w:sz="0" w:space="0" w:color="auto"/>
                                        <w:left w:val="none" w:sz="0" w:space="0" w:color="auto"/>
                                        <w:bottom w:val="none" w:sz="0" w:space="0" w:color="auto"/>
                                        <w:right w:val="none" w:sz="0" w:space="0" w:color="auto"/>
                                      </w:divBdr>
                                      <w:divsChild>
                                        <w:div w:id="1545214090">
                                          <w:marLeft w:val="0"/>
                                          <w:marRight w:val="0"/>
                                          <w:marTop w:val="0"/>
                                          <w:marBottom w:val="0"/>
                                          <w:divBdr>
                                            <w:top w:val="none" w:sz="0" w:space="0" w:color="auto"/>
                                            <w:left w:val="none" w:sz="0" w:space="0" w:color="auto"/>
                                            <w:bottom w:val="none" w:sz="0" w:space="0" w:color="auto"/>
                                            <w:right w:val="none" w:sz="0" w:space="0" w:color="auto"/>
                                          </w:divBdr>
                                          <w:divsChild>
                                            <w:div w:id="708918248">
                                              <w:marLeft w:val="0"/>
                                              <w:marRight w:val="0"/>
                                              <w:marTop w:val="240"/>
                                              <w:marBottom w:val="60"/>
                                              <w:divBdr>
                                                <w:top w:val="none" w:sz="0" w:space="0" w:color="auto"/>
                                                <w:left w:val="none" w:sz="0" w:space="0" w:color="auto"/>
                                                <w:bottom w:val="none" w:sz="0" w:space="0" w:color="auto"/>
                                                <w:right w:val="none" w:sz="0" w:space="0" w:color="auto"/>
                                              </w:divBdr>
                                              <w:divsChild>
                                                <w:div w:id="1531064862">
                                                  <w:marLeft w:val="240"/>
                                                  <w:marRight w:val="0"/>
                                                  <w:marTop w:val="60"/>
                                                  <w:marBottom w:val="60"/>
                                                  <w:divBdr>
                                                    <w:top w:val="none" w:sz="0" w:space="0" w:color="auto"/>
                                                    <w:left w:val="none" w:sz="0" w:space="0" w:color="auto"/>
                                                    <w:bottom w:val="none" w:sz="0" w:space="0" w:color="auto"/>
                                                    <w:right w:val="none" w:sz="0" w:space="0" w:color="auto"/>
                                                  </w:divBdr>
                                                  <w:divsChild>
                                                    <w:div w:id="657616115">
                                                      <w:marLeft w:val="240"/>
                                                      <w:marRight w:val="0"/>
                                                      <w:marTop w:val="60"/>
                                                      <w:marBottom w:val="60"/>
                                                      <w:divBdr>
                                                        <w:top w:val="none" w:sz="0" w:space="0" w:color="auto"/>
                                                        <w:left w:val="none" w:sz="0" w:space="0" w:color="auto"/>
                                                        <w:bottom w:val="none" w:sz="0" w:space="0" w:color="auto"/>
                                                        <w:right w:val="none" w:sz="0" w:space="0" w:color="auto"/>
                                                      </w:divBdr>
                                                      <w:divsChild>
                                                        <w:div w:id="670761593">
                                                          <w:marLeft w:val="240"/>
                                                          <w:marRight w:val="0"/>
                                                          <w:marTop w:val="60"/>
                                                          <w:marBottom w:val="60"/>
                                                          <w:divBdr>
                                                            <w:top w:val="none" w:sz="0" w:space="0" w:color="auto"/>
                                                            <w:left w:val="none" w:sz="0" w:space="0" w:color="auto"/>
                                                            <w:bottom w:val="none" w:sz="0" w:space="0" w:color="auto"/>
                                                            <w:right w:val="none" w:sz="0" w:space="0" w:color="auto"/>
                                                          </w:divBdr>
                                                          <w:divsChild>
                                                            <w:div w:id="624896030">
                                                              <w:marLeft w:val="0"/>
                                                              <w:marRight w:val="0"/>
                                                              <w:marTop w:val="0"/>
                                                              <w:marBottom w:val="0"/>
                                                              <w:divBdr>
                                                                <w:top w:val="none" w:sz="0" w:space="0" w:color="auto"/>
                                                                <w:left w:val="none" w:sz="0" w:space="0" w:color="auto"/>
                                                                <w:bottom w:val="none" w:sz="0" w:space="0" w:color="auto"/>
                                                                <w:right w:val="none" w:sz="0" w:space="0" w:color="auto"/>
                                                              </w:divBdr>
                                                            </w:div>
                                                          </w:divsChild>
                                                        </w:div>
                                                        <w:div w:id="178740628">
                                                          <w:marLeft w:val="240"/>
                                                          <w:marRight w:val="0"/>
                                                          <w:marTop w:val="60"/>
                                                          <w:marBottom w:val="60"/>
                                                          <w:divBdr>
                                                            <w:top w:val="none" w:sz="0" w:space="0" w:color="auto"/>
                                                            <w:left w:val="none" w:sz="0" w:space="0" w:color="auto"/>
                                                            <w:bottom w:val="none" w:sz="0" w:space="0" w:color="auto"/>
                                                            <w:right w:val="none" w:sz="0" w:space="0" w:color="auto"/>
                                                          </w:divBdr>
                                                          <w:divsChild>
                                                            <w:div w:id="2122458049">
                                                              <w:marLeft w:val="240"/>
                                                              <w:marRight w:val="0"/>
                                                              <w:marTop w:val="60"/>
                                                              <w:marBottom w:val="60"/>
                                                              <w:divBdr>
                                                                <w:top w:val="none" w:sz="0" w:space="0" w:color="auto"/>
                                                                <w:left w:val="none" w:sz="0" w:space="0" w:color="auto"/>
                                                                <w:bottom w:val="none" w:sz="0" w:space="0" w:color="auto"/>
                                                                <w:right w:val="none" w:sz="0" w:space="0" w:color="auto"/>
                                                              </w:divBdr>
                                                              <w:divsChild>
                                                                <w:div w:id="1366366560">
                                                                  <w:marLeft w:val="0"/>
                                                                  <w:marRight w:val="0"/>
                                                                  <w:marTop w:val="0"/>
                                                                  <w:marBottom w:val="0"/>
                                                                  <w:divBdr>
                                                                    <w:top w:val="none" w:sz="0" w:space="0" w:color="auto"/>
                                                                    <w:left w:val="none" w:sz="0" w:space="0" w:color="auto"/>
                                                                    <w:bottom w:val="none" w:sz="0" w:space="0" w:color="auto"/>
                                                                    <w:right w:val="none" w:sz="0" w:space="0" w:color="auto"/>
                                                                  </w:divBdr>
                                                                </w:div>
                                                              </w:divsChild>
                                                            </w:div>
                                                            <w:div w:id="455099217">
                                                              <w:marLeft w:val="240"/>
                                                              <w:marRight w:val="0"/>
                                                              <w:marTop w:val="60"/>
                                                              <w:marBottom w:val="60"/>
                                                              <w:divBdr>
                                                                <w:top w:val="none" w:sz="0" w:space="0" w:color="auto"/>
                                                                <w:left w:val="none" w:sz="0" w:space="0" w:color="auto"/>
                                                                <w:bottom w:val="none" w:sz="0" w:space="0" w:color="auto"/>
                                                                <w:right w:val="none" w:sz="0" w:space="0" w:color="auto"/>
                                                              </w:divBdr>
                                                              <w:divsChild>
                                                                <w:div w:id="10748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2666">
                                                      <w:marLeft w:val="240"/>
                                                      <w:marRight w:val="0"/>
                                                      <w:marTop w:val="60"/>
                                                      <w:marBottom w:val="60"/>
                                                      <w:divBdr>
                                                        <w:top w:val="none" w:sz="0" w:space="0" w:color="auto"/>
                                                        <w:left w:val="none" w:sz="0" w:space="0" w:color="auto"/>
                                                        <w:bottom w:val="none" w:sz="0" w:space="0" w:color="auto"/>
                                                        <w:right w:val="none" w:sz="0" w:space="0" w:color="auto"/>
                                                      </w:divBdr>
                                                      <w:divsChild>
                                                        <w:div w:id="972490184">
                                                          <w:marLeft w:val="240"/>
                                                          <w:marRight w:val="0"/>
                                                          <w:marTop w:val="60"/>
                                                          <w:marBottom w:val="60"/>
                                                          <w:divBdr>
                                                            <w:top w:val="none" w:sz="0" w:space="0" w:color="auto"/>
                                                            <w:left w:val="none" w:sz="0" w:space="0" w:color="auto"/>
                                                            <w:bottom w:val="none" w:sz="0" w:space="0" w:color="auto"/>
                                                            <w:right w:val="none" w:sz="0" w:space="0" w:color="auto"/>
                                                          </w:divBdr>
                                                          <w:divsChild>
                                                            <w:div w:id="1438868835">
                                                              <w:marLeft w:val="0"/>
                                                              <w:marRight w:val="0"/>
                                                              <w:marTop w:val="0"/>
                                                              <w:marBottom w:val="0"/>
                                                              <w:divBdr>
                                                                <w:top w:val="none" w:sz="0" w:space="0" w:color="auto"/>
                                                                <w:left w:val="none" w:sz="0" w:space="0" w:color="auto"/>
                                                                <w:bottom w:val="none" w:sz="0" w:space="0" w:color="auto"/>
                                                                <w:right w:val="none" w:sz="0" w:space="0" w:color="auto"/>
                                                              </w:divBdr>
                                                            </w:div>
                                                          </w:divsChild>
                                                        </w:div>
                                                        <w:div w:id="3943009">
                                                          <w:marLeft w:val="240"/>
                                                          <w:marRight w:val="0"/>
                                                          <w:marTop w:val="60"/>
                                                          <w:marBottom w:val="60"/>
                                                          <w:divBdr>
                                                            <w:top w:val="none" w:sz="0" w:space="0" w:color="auto"/>
                                                            <w:left w:val="none" w:sz="0" w:space="0" w:color="auto"/>
                                                            <w:bottom w:val="none" w:sz="0" w:space="0" w:color="auto"/>
                                                            <w:right w:val="none" w:sz="0" w:space="0" w:color="auto"/>
                                                          </w:divBdr>
                                                          <w:divsChild>
                                                            <w:div w:id="666980913">
                                                              <w:marLeft w:val="240"/>
                                                              <w:marRight w:val="0"/>
                                                              <w:marTop w:val="60"/>
                                                              <w:marBottom w:val="60"/>
                                                              <w:divBdr>
                                                                <w:top w:val="none" w:sz="0" w:space="0" w:color="auto"/>
                                                                <w:left w:val="none" w:sz="0" w:space="0" w:color="auto"/>
                                                                <w:bottom w:val="none" w:sz="0" w:space="0" w:color="auto"/>
                                                                <w:right w:val="none" w:sz="0" w:space="0" w:color="auto"/>
                                                              </w:divBdr>
                                                              <w:divsChild>
                                                                <w:div w:id="1632318228">
                                                                  <w:marLeft w:val="0"/>
                                                                  <w:marRight w:val="0"/>
                                                                  <w:marTop w:val="0"/>
                                                                  <w:marBottom w:val="0"/>
                                                                  <w:divBdr>
                                                                    <w:top w:val="none" w:sz="0" w:space="0" w:color="auto"/>
                                                                    <w:left w:val="none" w:sz="0" w:space="0" w:color="auto"/>
                                                                    <w:bottom w:val="none" w:sz="0" w:space="0" w:color="auto"/>
                                                                    <w:right w:val="none" w:sz="0" w:space="0" w:color="auto"/>
                                                                  </w:divBdr>
                                                                </w:div>
                                                              </w:divsChild>
                                                            </w:div>
                                                            <w:div w:id="625936551">
                                                              <w:marLeft w:val="240"/>
                                                              <w:marRight w:val="0"/>
                                                              <w:marTop w:val="60"/>
                                                              <w:marBottom w:val="60"/>
                                                              <w:divBdr>
                                                                <w:top w:val="none" w:sz="0" w:space="0" w:color="auto"/>
                                                                <w:left w:val="none" w:sz="0" w:space="0" w:color="auto"/>
                                                                <w:bottom w:val="none" w:sz="0" w:space="0" w:color="auto"/>
                                                                <w:right w:val="none" w:sz="0" w:space="0" w:color="auto"/>
                                                              </w:divBdr>
                                                              <w:divsChild>
                                                                <w:div w:id="9286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5591">
                                                  <w:marLeft w:val="240"/>
                                                  <w:marRight w:val="0"/>
                                                  <w:marTop w:val="60"/>
                                                  <w:marBottom w:val="60"/>
                                                  <w:divBdr>
                                                    <w:top w:val="none" w:sz="0" w:space="0" w:color="auto"/>
                                                    <w:left w:val="none" w:sz="0" w:space="0" w:color="auto"/>
                                                    <w:bottom w:val="none" w:sz="0" w:space="0" w:color="auto"/>
                                                    <w:right w:val="none" w:sz="0" w:space="0" w:color="auto"/>
                                                  </w:divBdr>
                                                  <w:divsChild>
                                                    <w:div w:id="911042279">
                                                      <w:marLeft w:val="240"/>
                                                      <w:marRight w:val="0"/>
                                                      <w:marTop w:val="60"/>
                                                      <w:marBottom w:val="60"/>
                                                      <w:divBdr>
                                                        <w:top w:val="none" w:sz="0" w:space="0" w:color="auto"/>
                                                        <w:left w:val="none" w:sz="0" w:space="0" w:color="auto"/>
                                                        <w:bottom w:val="none" w:sz="0" w:space="0" w:color="auto"/>
                                                        <w:right w:val="none" w:sz="0" w:space="0" w:color="auto"/>
                                                      </w:divBdr>
                                                      <w:divsChild>
                                                        <w:div w:id="794835426">
                                                          <w:marLeft w:val="0"/>
                                                          <w:marRight w:val="0"/>
                                                          <w:marTop w:val="0"/>
                                                          <w:marBottom w:val="0"/>
                                                          <w:divBdr>
                                                            <w:top w:val="none" w:sz="0" w:space="0" w:color="auto"/>
                                                            <w:left w:val="none" w:sz="0" w:space="0" w:color="auto"/>
                                                            <w:bottom w:val="none" w:sz="0" w:space="0" w:color="auto"/>
                                                            <w:right w:val="none" w:sz="0" w:space="0" w:color="auto"/>
                                                          </w:divBdr>
                                                        </w:div>
                                                      </w:divsChild>
                                                    </w:div>
                                                    <w:div w:id="1504976310">
                                                      <w:marLeft w:val="240"/>
                                                      <w:marRight w:val="0"/>
                                                      <w:marTop w:val="60"/>
                                                      <w:marBottom w:val="60"/>
                                                      <w:divBdr>
                                                        <w:top w:val="none" w:sz="0" w:space="0" w:color="auto"/>
                                                        <w:left w:val="none" w:sz="0" w:space="0" w:color="auto"/>
                                                        <w:bottom w:val="none" w:sz="0" w:space="0" w:color="auto"/>
                                                        <w:right w:val="none" w:sz="0" w:space="0" w:color="auto"/>
                                                      </w:divBdr>
                                                      <w:divsChild>
                                                        <w:div w:id="1156799810">
                                                          <w:marLeft w:val="0"/>
                                                          <w:marRight w:val="0"/>
                                                          <w:marTop w:val="0"/>
                                                          <w:marBottom w:val="0"/>
                                                          <w:divBdr>
                                                            <w:top w:val="none" w:sz="0" w:space="0" w:color="auto"/>
                                                            <w:left w:val="none" w:sz="0" w:space="0" w:color="auto"/>
                                                            <w:bottom w:val="none" w:sz="0" w:space="0" w:color="auto"/>
                                                            <w:right w:val="none" w:sz="0" w:space="0" w:color="auto"/>
                                                          </w:divBdr>
                                                        </w:div>
                                                      </w:divsChild>
                                                    </w:div>
                                                    <w:div w:id="329796451">
                                                      <w:marLeft w:val="240"/>
                                                      <w:marRight w:val="0"/>
                                                      <w:marTop w:val="60"/>
                                                      <w:marBottom w:val="60"/>
                                                      <w:divBdr>
                                                        <w:top w:val="none" w:sz="0" w:space="0" w:color="auto"/>
                                                        <w:left w:val="none" w:sz="0" w:space="0" w:color="auto"/>
                                                        <w:bottom w:val="none" w:sz="0" w:space="0" w:color="auto"/>
                                                        <w:right w:val="none" w:sz="0" w:space="0" w:color="auto"/>
                                                      </w:divBdr>
                                                      <w:divsChild>
                                                        <w:div w:id="17859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5005">
                                                  <w:marLeft w:val="240"/>
                                                  <w:marRight w:val="0"/>
                                                  <w:marTop w:val="60"/>
                                                  <w:marBottom w:val="60"/>
                                                  <w:divBdr>
                                                    <w:top w:val="none" w:sz="0" w:space="0" w:color="auto"/>
                                                    <w:left w:val="none" w:sz="0" w:space="0" w:color="auto"/>
                                                    <w:bottom w:val="none" w:sz="0" w:space="0" w:color="auto"/>
                                                    <w:right w:val="none" w:sz="0" w:space="0" w:color="auto"/>
                                                  </w:divBdr>
                                                  <w:divsChild>
                                                    <w:div w:id="444816434">
                                                      <w:marLeft w:val="240"/>
                                                      <w:marRight w:val="0"/>
                                                      <w:marTop w:val="60"/>
                                                      <w:marBottom w:val="60"/>
                                                      <w:divBdr>
                                                        <w:top w:val="none" w:sz="0" w:space="0" w:color="auto"/>
                                                        <w:left w:val="none" w:sz="0" w:space="0" w:color="auto"/>
                                                        <w:bottom w:val="none" w:sz="0" w:space="0" w:color="auto"/>
                                                        <w:right w:val="none" w:sz="0" w:space="0" w:color="auto"/>
                                                      </w:divBdr>
                                                      <w:divsChild>
                                                        <w:div w:id="732587506">
                                                          <w:marLeft w:val="240"/>
                                                          <w:marRight w:val="0"/>
                                                          <w:marTop w:val="60"/>
                                                          <w:marBottom w:val="60"/>
                                                          <w:divBdr>
                                                            <w:top w:val="none" w:sz="0" w:space="0" w:color="auto"/>
                                                            <w:left w:val="none" w:sz="0" w:space="0" w:color="auto"/>
                                                            <w:bottom w:val="none" w:sz="0" w:space="0" w:color="auto"/>
                                                            <w:right w:val="none" w:sz="0" w:space="0" w:color="auto"/>
                                                          </w:divBdr>
                                                          <w:divsChild>
                                                            <w:div w:id="694959056">
                                                              <w:marLeft w:val="240"/>
                                                              <w:marRight w:val="0"/>
                                                              <w:marTop w:val="60"/>
                                                              <w:marBottom w:val="60"/>
                                                              <w:divBdr>
                                                                <w:top w:val="none" w:sz="0" w:space="0" w:color="auto"/>
                                                                <w:left w:val="none" w:sz="0" w:space="0" w:color="auto"/>
                                                                <w:bottom w:val="none" w:sz="0" w:space="0" w:color="auto"/>
                                                                <w:right w:val="none" w:sz="0" w:space="0" w:color="auto"/>
                                                              </w:divBdr>
                                                              <w:divsChild>
                                                                <w:div w:id="494885485">
                                                                  <w:marLeft w:val="0"/>
                                                                  <w:marRight w:val="0"/>
                                                                  <w:marTop w:val="0"/>
                                                                  <w:marBottom w:val="0"/>
                                                                  <w:divBdr>
                                                                    <w:top w:val="none" w:sz="0" w:space="0" w:color="auto"/>
                                                                    <w:left w:val="none" w:sz="0" w:space="0" w:color="auto"/>
                                                                    <w:bottom w:val="none" w:sz="0" w:space="0" w:color="auto"/>
                                                                    <w:right w:val="none" w:sz="0" w:space="0" w:color="auto"/>
                                                                  </w:divBdr>
                                                                </w:div>
                                                              </w:divsChild>
                                                            </w:div>
                                                            <w:div w:id="762842765">
                                                              <w:marLeft w:val="240"/>
                                                              <w:marRight w:val="0"/>
                                                              <w:marTop w:val="60"/>
                                                              <w:marBottom w:val="60"/>
                                                              <w:divBdr>
                                                                <w:top w:val="none" w:sz="0" w:space="0" w:color="auto"/>
                                                                <w:left w:val="none" w:sz="0" w:space="0" w:color="auto"/>
                                                                <w:bottom w:val="none" w:sz="0" w:space="0" w:color="auto"/>
                                                                <w:right w:val="none" w:sz="0" w:space="0" w:color="auto"/>
                                                              </w:divBdr>
                                                              <w:divsChild>
                                                                <w:div w:id="850144323">
                                                                  <w:marLeft w:val="0"/>
                                                                  <w:marRight w:val="0"/>
                                                                  <w:marTop w:val="0"/>
                                                                  <w:marBottom w:val="0"/>
                                                                  <w:divBdr>
                                                                    <w:top w:val="none" w:sz="0" w:space="0" w:color="auto"/>
                                                                    <w:left w:val="none" w:sz="0" w:space="0" w:color="auto"/>
                                                                    <w:bottom w:val="none" w:sz="0" w:space="0" w:color="auto"/>
                                                                    <w:right w:val="none" w:sz="0" w:space="0" w:color="auto"/>
                                                                  </w:divBdr>
                                                                </w:div>
                                                              </w:divsChild>
                                                            </w:div>
                                                            <w:div w:id="65692346">
                                                              <w:marLeft w:val="240"/>
                                                              <w:marRight w:val="0"/>
                                                              <w:marTop w:val="60"/>
                                                              <w:marBottom w:val="60"/>
                                                              <w:divBdr>
                                                                <w:top w:val="none" w:sz="0" w:space="0" w:color="auto"/>
                                                                <w:left w:val="none" w:sz="0" w:space="0" w:color="auto"/>
                                                                <w:bottom w:val="none" w:sz="0" w:space="0" w:color="auto"/>
                                                                <w:right w:val="none" w:sz="0" w:space="0" w:color="auto"/>
                                                              </w:divBdr>
                                                              <w:divsChild>
                                                                <w:div w:id="11839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8863">
                                                          <w:marLeft w:val="240"/>
                                                          <w:marRight w:val="0"/>
                                                          <w:marTop w:val="60"/>
                                                          <w:marBottom w:val="60"/>
                                                          <w:divBdr>
                                                            <w:top w:val="none" w:sz="0" w:space="0" w:color="auto"/>
                                                            <w:left w:val="none" w:sz="0" w:space="0" w:color="auto"/>
                                                            <w:bottom w:val="none" w:sz="0" w:space="0" w:color="auto"/>
                                                            <w:right w:val="none" w:sz="0" w:space="0" w:color="auto"/>
                                                          </w:divBdr>
                                                          <w:divsChild>
                                                            <w:div w:id="4035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4898">
                                                      <w:marLeft w:val="240"/>
                                                      <w:marRight w:val="0"/>
                                                      <w:marTop w:val="60"/>
                                                      <w:marBottom w:val="60"/>
                                                      <w:divBdr>
                                                        <w:top w:val="none" w:sz="0" w:space="0" w:color="auto"/>
                                                        <w:left w:val="none" w:sz="0" w:space="0" w:color="auto"/>
                                                        <w:bottom w:val="none" w:sz="0" w:space="0" w:color="auto"/>
                                                        <w:right w:val="none" w:sz="0" w:space="0" w:color="auto"/>
                                                      </w:divBdr>
                                                      <w:divsChild>
                                                        <w:div w:id="12655571">
                                                          <w:marLeft w:val="240"/>
                                                          <w:marRight w:val="0"/>
                                                          <w:marTop w:val="60"/>
                                                          <w:marBottom w:val="60"/>
                                                          <w:divBdr>
                                                            <w:top w:val="none" w:sz="0" w:space="0" w:color="auto"/>
                                                            <w:left w:val="none" w:sz="0" w:space="0" w:color="auto"/>
                                                            <w:bottom w:val="none" w:sz="0" w:space="0" w:color="auto"/>
                                                            <w:right w:val="none" w:sz="0" w:space="0" w:color="auto"/>
                                                          </w:divBdr>
                                                          <w:divsChild>
                                                            <w:div w:id="114295391">
                                                              <w:marLeft w:val="0"/>
                                                              <w:marRight w:val="0"/>
                                                              <w:marTop w:val="0"/>
                                                              <w:marBottom w:val="0"/>
                                                              <w:divBdr>
                                                                <w:top w:val="none" w:sz="0" w:space="0" w:color="auto"/>
                                                                <w:left w:val="none" w:sz="0" w:space="0" w:color="auto"/>
                                                                <w:bottom w:val="none" w:sz="0" w:space="0" w:color="auto"/>
                                                                <w:right w:val="none" w:sz="0" w:space="0" w:color="auto"/>
                                                              </w:divBdr>
                                                            </w:div>
                                                          </w:divsChild>
                                                        </w:div>
                                                        <w:div w:id="1384983353">
                                                          <w:marLeft w:val="240"/>
                                                          <w:marRight w:val="0"/>
                                                          <w:marTop w:val="60"/>
                                                          <w:marBottom w:val="60"/>
                                                          <w:divBdr>
                                                            <w:top w:val="none" w:sz="0" w:space="0" w:color="auto"/>
                                                            <w:left w:val="none" w:sz="0" w:space="0" w:color="auto"/>
                                                            <w:bottom w:val="none" w:sz="0" w:space="0" w:color="auto"/>
                                                            <w:right w:val="none" w:sz="0" w:space="0" w:color="auto"/>
                                                          </w:divBdr>
                                                          <w:divsChild>
                                                            <w:div w:id="759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2730">
                                                      <w:marLeft w:val="240"/>
                                                      <w:marRight w:val="0"/>
                                                      <w:marTop w:val="60"/>
                                                      <w:marBottom w:val="60"/>
                                                      <w:divBdr>
                                                        <w:top w:val="none" w:sz="0" w:space="0" w:color="auto"/>
                                                        <w:left w:val="none" w:sz="0" w:space="0" w:color="auto"/>
                                                        <w:bottom w:val="none" w:sz="0" w:space="0" w:color="auto"/>
                                                        <w:right w:val="none" w:sz="0" w:space="0" w:color="auto"/>
                                                      </w:divBdr>
                                                      <w:divsChild>
                                                        <w:div w:id="1841004381">
                                                          <w:marLeft w:val="0"/>
                                                          <w:marRight w:val="0"/>
                                                          <w:marTop w:val="0"/>
                                                          <w:marBottom w:val="0"/>
                                                          <w:divBdr>
                                                            <w:top w:val="none" w:sz="0" w:space="0" w:color="auto"/>
                                                            <w:left w:val="none" w:sz="0" w:space="0" w:color="auto"/>
                                                            <w:bottom w:val="none" w:sz="0" w:space="0" w:color="auto"/>
                                                            <w:right w:val="none" w:sz="0" w:space="0" w:color="auto"/>
                                                          </w:divBdr>
                                                        </w:div>
                                                      </w:divsChild>
                                                    </w:div>
                                                    <w:div w:id="1451778478">
                                                      <w:marLeft w:val="240"/>
                                                      <w:marRight w:val="0"/>
                                                      <w:marTop w:val="60"/>
                                                      <w:marBottom w:val="60"/>
                                                      <w:divBdr>
                                                        <w:top w:val="none" w:sz="0" w:space="0" w:color="auto"/>
                                                        <w:left w:val="none" w:sz="0" w:space="0" w:color="auto"/>
                                                        <w:bottom w:val="none" w:sz="0" w:space="0" w:color="auto"/>
                                                        <w:right w:val="none" w:sz="0" w:space="0" w:color="auto"/>
                                                      </w:divBdr>
                                                      <w:divsChild>
                                                        <w:div w:id="1357851673">
                                                          <w:marLeft w:val="240"/>
                                                          <w:marRight w:val="0"/>
                                                          <w:marTop w:val="60"/>
                                                          <w:marBottom w:val="60"/>
                                                          <w:divBdr>
                                                            <w:top w:val="none" w:sz="0" w:space="0" w:color="auto"/>
                                                            <w:left w:val="none" w:sz="0" w:space="0" w:color="auto"/>
                                                            <w:bottom w:val="none" w:sz="0" w:space="0" w:color="auto"/>
                                                            <w:right w:val="none" w:sz="0" w:space="0" w:color="auto"/>
                                                          </w:divBdr>
                                                          <w:divsChild>
                                                            <w:div w:id="585695971">
                                                              <w:marLeft w:val="0"/>
                                                              <w:marRight w:val="0"/>
                                                              <w:marTop w:val="0"/>
                                                              <w:marBottom w:val="0"/>
                                                              <w:divBdr>
                                                                <w:top w:val="none" w:sz="0" w:space="0" w:color="auto"/>
                                                                <w:left w:val="none" w:sz="0" w:space="0" w:color="auto"/>
                                                                <w:bottom w:val="none" w:sz="0" w:space="0" w:color="auto"/>
                                                                <w:right w:val="none" w:sz="0" w:space="0" w:color="auto"/>
                                                              </w:divBdr>
                                                            </w:div>
                                                          </w:divsChild>
                                                        </w:div>
                                                        <w:div w:id="1068918773">
                                                          <w:marLeft w:val="240"/>
                                                          <w:marRight w:val="0"/>
                                                          <w:marTop w:val="60"/>
                                                          <w:marBottom w:val="60"/>
                                                          <w:divBdr>
                                                            <w:top w:val="none" w:sz="0" w:space="0" w:color="auto"/>
                                                            <w:left w:val="none" w:sz="0" w:space="0" w:color="auto"/>
                                                            <w:bottom w:val="none" w:sz="0" w:space="0" w:color="auto"/>
                                                            <w:right w:val="none" w:sz="0" w:space="0" w:color="auto"/>
                                                          </w:divBdr>
                                                          <w:divsChild>
                                                            <w:div w:id="13356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220">
                                                      <w:marLeft w:val="240"/>
                                                      <w:marRight w:val="0"/>
                                                      <w:marTop w:val="60"/>
                                                      <w:marBottom w:val="60"/>
                                                      <w:divBdr>
                                                        <w:top w:val="none" w:sz="0" w:space="0" w:color="auto"/>
                                                        <w:left w:val="none" w:sz="0" w:space="0" w:color="auto"/>
                                                        <w:bottom w:val="none" w:sz="0" w:space="0" w:color="auto"/>
                                                        <w:right w:val="none" w:sz="0" w:space="0" w:color="auto"/>
                                                      </w:divBdr>
                                                      <w:divsChild>
                                                        <w:div w:id="1900361882">
                                                          <w:marLeft w:val="0"/>
                                                          <w:marRight w:val="0"/>
                                                          <w:marTop w:val="0"/>
                                                          <w:marBottom w:val="0"/>
                                                          <w:divBdr>
                                                            <w:top w:val="none" w:sz="0" w:space="0" w:color="auto"/>
                                                            <w:left w:val="none" w:sz="0" w:space="0" w:color="auto"/>
                                                            <w:bottom w:val="none" w:sz="0" w:space="0" w:color="auto"/>
                                                            <w:right w:val="none" w:sz="0" w:space="0" w:color="auto"/>
                                                          </w:divBdr>
                                                        </w:div>
                                                      </w:divsChild>
                                                    </w:div>
                                                    <w:div w:id="236325308">
                                                      <w:marLeft w:val="240"/>
                                                      <w:marRight w:val="0"/>
                                                      <w:marTop w:val="60"/>
                                                      <w:marBottom w:val="60"/>
                                                      <w:divBdr>
                                                        <w:top w:val="none" w:sz="0" w:space="0" w:color="auto"/>
                                                        <w:left w:val="none" w:sz="0" w:space="0" w:color="auto"/>
                                                        <w:bottom w:val="none" w:sz="0" w:space="0" w:color="auto"/>
                                                        <w:right w:val="none" w:sz="0" w:space="0" w:color="auto"/>
                                                      </w:divBdr>
                                                      <w:divsChild>
                                                        <w:div w:id="6448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0194">
                                                  <w:marLeft w:val="240"/>
                                                  <w:marRight w:val="0"/>
                                                  <w:marTop w:val="60"/>
                                                  <w:marBottom w:val="60"/>
                                                  <w:divBdr>
                                                    <w:top w:val="none" w:sz="0" w:space="0" w:color="auto"/>
                                                    <w:left w:val="none" w:sz="0" w:space="0" w:color="auto"/>
                                                    <w:bottom w:val="none" w:sz="0" w:space="0" w:color="auto"/>
                                                    <w:right w:val="none" w:sz="0" w:space="0" w:color="auto"/>
                                                  </w:divBdr>
                                                  <w:divsChild>
                                                    <w:div w:id="1217400004">
                                                      <w:marLeft w:val="240"/>
                                                      <w:marRight w:val="0"/>
                                                      <w:marTop w:val="60"/>
                                                      <w:marBottom w:val="60"/>
                                                      <w:divBdr>
                                                        <w:top w:val="none" w:sz="0" w:space="0" w:color="auto"/>
                                                        <w:left w:val="none" w:sz="0" w:space="0" w:color="auto"/>
                                                        <w:bottom w:val="none" w:sz="0" w:space="0" w:color="auto"/>
                                                        <w:right w:val="none" w:sz="0" w:space="0" w:color="auto"/>
                                                      </w:divBdr>
                                                      <w:divsChild>
                                                        <w:div w:id="2045979219">
                                                          <w:marLeft w:val="0"/>
                                                          <w:marRight w:val="0"/>
                                                          <w:marTop w:val="0"/>
                                                          <w:marBottom w:val="0"/>
                                                          <w:divBdr>
                                                            <w:top w:val="none" w:sz="0" w:space="0" w:color="auto"/>
                                                            <w:left w:val="none" w:sz="0" w:space="0" w:color="auto"/>
                                                            <w:bottom w:val="none" w:sz="0" w:space="0" w:color="auto"/>
                                                            <w:right w:val="none" w:sz="0" w:space="0" w:color="auto"/>
                                                          </w:divBdr>
                                                        </w:div>
                                                      </w:divsChild>
                                                    </w:div>
                                                    <w:div w:id="440733309">
                                                      <w:marLeft w:val="240"/>
                                                      <w:marRight w:val="0"/>
                                                      <w:marTop w:val="60"/>
                                                      <w:marBottom w:val="60"/>
                                                      <w:divBdr>
                                                        <w:top w:val="none" w:sz="0" w:space="0" w:color="auto"/>
                                                        <w:left w:val="none" w:sz="0" w:space="0" w:color="auto"/>
                                                        <w:bottom w:val="none" w:sz="0" w:space="0" w:color="auto"/>
                                                        <w:right w:val="none" w:sz="0" w:space="0" w:color="auto"/>
                                                      </w:divBdr>
                                                      <w:divsChild>
                                                        <w:div w:id="12493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618">
                                                  <w:marLeft w:val="240"/>
                                                  <w:marRight w:val="0"/>
                                                  <w:marTop w:val="60"/>
                                                  <w:marBottom w:val="60"/>
                                                  <w:divBdr>
                                                    <w:top w:val="none" w:sz="0" w:space="0" w:color="auto"/>
                                                    <w:left w:val="none" w:sz="0" w:space="0" w:color="auto"/>
                                                    <w:bottom w:val="none" w:sz="0" w:space="0" w:color="auto"/>
                                                    <w:right w:val="none" w:sz="0" w:space="0" w:color="auto"/>
                                                  </w:divBdr>
                                                  <w:divsChild>
                                                    <w:div w:id="1511288433">
                                                      <w:marLeft w:val="240"/>
                                                      <w:marRight w:val="0"/>
                                                      <w:marTop w:val="60"/>
                                                      <w:marBottom w:val="60"/>
                                                      <w:divBdr>
                                                        <w:top w:val="none" w:sz="0" w:space="0" w:color="auto"/>
                                                        <w:left w:val="none" w:sz="0" w:space="0" w:color="auto"/>
                                                        <w:bottom w:val="none" w:sz="0" w:space="0" w:color="auto"/>
                                                        <w:right w:val="none" w:sz="0" w:space="0" w:color="auto"/>
                                                      </w:divBdr>
                                                      <w:divsChild>
                                                        <w:div w:id="788208964">
                                                          <w:marLeft w:val="0"/>
                                                          <w:marRight w:val="0"/>
                                                          <w:marTop w:val="0"/>
                                                          <w:marBottom w:val="0"/>
                                                          <w:divBdr>
                                                            <w:top w:val="none" w:sz="0" w:space="0" w:color="auto"/>
                                                            <w:left w:val="none" w:sz="0" w:space="0" w:color="auto"/>
                                                            <w:bottom w:val="none" w:sz="0" w:space="0" w:color="auto"/>
                                                            <w:right w:val="none" w:sz="0" w:space="0" w:color="auto"/>
                                                          </w:divBdr>
                                                        </w:div>
                                                      </w:divsChild>
                                                    </w:div>
                                                    <w:div w:id="1936329984">
                                                      <w:marLeft w:val="240"/>
                                                      <w:marRight w:val="0"/>
                                                      <w:marTop w:val="60"/>
                                                      <w:marBottom w:val="60"/>
                                                      <w:divBdr>
                                                        <w:top w:val="none" w:sz="0" w:space="0" w:color="auto"/>
                                                        <w:left w:val="none" w:sz="0" w:space="0" w:color="auto"/>
                                                        <w:bottom w:val="none" w:sz="0" w:space="0" w:color="auto"/>
                                                        <w:right w:val="none" w:sz="0" w:space="0" w:color="auto"/>
                                                      </w:divBdr>
                                                      <w:divsChild>
                                                        <w:div w:id="4334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26-USC-1621740589-660163049&amp;term_occur=999&amp;term_src=title:26:subtitle:A:chapter:2A:section:1411" TargetMode="External"/><Relationship Id="rId13" Type="http://schemas.openxmlformats.org/officeDocument/2006/relationships/hyperlink" Target="https://www.law.cornell.edu/uscode/text/26/469" TargetMode="External"/><Relationship Id="rId18" Type="http://schemas.openxmlformats.org/officeDocument/2006/relationships/hyperlink" Target="https://www.law.cornell.edu/uscode/text/26/9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aw.cornell.edu/definitions/uscode.php?width=840&amp;height=800&amp;iframe=true&amp;def_id=26-USC-1399515731-1447356127&amp;term_occur=999&amp;term_src=title:26:subtitle:A:chapter:2A:section:1411" TargetMode="External"/><Relationship Id="rId12" Type="http://schemas.openxmlformats.org/officeDocument/2006/relationships/hyperlink" Target="https://www.law.cornell.edu/definitions/uscode.php?width=840&amp;height=800&amp;iframe=true&amp;def_id=26-USC-1621740589-660163049&amp;term_occur=999&amp;term_src=title:26:subtitle:A:chapter:2A:section:1411" TargetMode="External"/><Relationship Id="rId17" Type="http://schemas.openxmlformats.org/officeDocument/2006/relationships/hyperlink" Target="https://www.law.cornell.edu/definitions/uscode.php?width=840&amp;height=800&amp;iframe=true&amp;def_id=26-USC-315342688-1447356129&amp;term_occur=999&amp;term_src=title:26:subtitle:A:chapter:2A:section:1411" TargetMode="External"/><Relationship Id="rId2" Type="http://schemas.openxmlformats.org/officeDocument/2006/relationships/styles" Target="styles.xml"/><Relationship Id="rId16" Type="http://schemas.openxmlformats.org/officeDocument/2006/relationships/hyperlink" Target="https://www.law.cornell.edu/definitions/uscode.php?width=840&amp;height=800&amp;iframe=true&amp;def_id=26-USC-1621740589-660163049&amp;term_occur=999&amp;term_src=title:26:subtitle:A:chapter:2A:section:1411" TargetMode="External"/><Relationship Id="rId20" Type="http://schemas.openxmlformats.org/officeDocument/2006/relationships/hyperlink" Target="https://www.law.cornell.edu/rio/citation/124_Stat._1061" TargetMode="External"/><Relationship Id="rId1" Type="http://schemas.openxmlformats.org/officeDocument/2006/relationships/customXml" Target="../customXml/item1.xml"/><Relationship Id="rId6" Type="http://schemas.openxmlformats.org/officeDocument/2006/relationships/hyperlink" Target="https://www.law.cornell.edu/definitions/uscode.php?width=840&amp;height=800&amp;iframe=true&amp;def_id=26-USC-315342688-1447356129&amp;term_occur=999&amp;term_src=title:26:subtitle:A:chapter:2A:section:1411" TargetMode="External"/><Relationship Id="rId11" Type="http://schemas.openxmlformats.org/officeDocument/2006/relationships/hyperlink" Target="https://www.law.cornell.edu/uscode/text/26/6013" TargetMode="External"/><Relationship Id="rId5" Type="http://schemas.openxmlformats.org/officeDocument/2006/relationships/hyperlink" Target="https://www.law.cornell.edu/definitions/uscode.php?width=840&amp;height=800&amp;iframe=true&amp;def_id=26-USC-1621740589-660163049&amp;term_occur=999&amp;term_src=title:26:subtitle:A:chapter:2A:section:1411" TargetMode="External"/><Relationship Id="rId15" Type="http://schemas.openxmlformats.org/officeDocument/2006/relationships/hyperlink" Target="https://www.law.cornell.edu/uscode/text/26/469" TargetMode="External"/><Relationship Id="rId10" Type="http://schemas.openxmlformats.org/officeDocument/2006/relationships/hyperlink" Target="https://www.law.cornell.edu/definitions/uscode.php?width=840&amp;height=800&amp;iframe=true&amp;def_id=26-USC-1399515731-1447356127&amp;term_occur=999&amp;term_src=title:26:subtitle:A:chapter:2A:section:1411" TargetMode="External"/><Relationship Id="rId19" Type="http://schemas.openxmlformats.org/officeDocument/2006/relationships/hyperlink" Target="https://www.law.cornell.edu/rio/citation/Pub._L._111-152" TargetMode="External"/><Relationship Id="rId4" Type="http://schemas.openxmlformats.org/officeDocument/2006/relationships/webSettings" Target="webSettings.xml"/><Relationship Id="rId9" Type="http://schemas.openxmlformats.org/officeDocument/2006/relationships/hyperlink" Target="https://www.law.cornell.edu/uscode/text/26/67" TargetMode="External"/><Relationship Id="rId14" Type="http://schemas.openxmlformats.org/officeDocument/2006/relationships/hyperlink" Target="https://www.law.cornell.edu/uscode/text/26/4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76E9-5607-4B3E-96E8-BA8EF520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Nelson</dc:creator>
  <cp:keywords/>
  <dc:description/>
  <cp:lastModifiedBy>Stephen Nelson</cp:lastModifiedBy>
  <cp:revision>3</cp:revision>
  <dcterms:created xsi:type="dcterms:W3CDTF">2021-11-15T22:23:00Z</dcterms:created>
  <dcterms:modified xsi:type="dcterms:W3CDTF">2021-11-15T22:24:00Z</dcterms:modified>
</cp:coreProperties>
</file>